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E" w:rsidRPr="00125521" w:rsidRDefault="00D2223D" w:rsidP="004B50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5521">
        <w:rPr>
          <w:rFonts w:ascii="Arial" w:hAnsi="Arial" w:cs="Arial"/>
          <w:b/>
          <w:sz w:val="28"/>
          <w:szCs w:val="28"/>
        </w:rPr>
        <w:t>[PASADENA ANGELS]</w:t>
      </w:r>
      <w:r w:rsidR="00D96036">
        <w:rPr>
          <w:rFonts w:ascii="Arial" w:hAnsi="Arial" w:cs="Arial"/>
          <w:b/>
          <w:sz w:val="28"/>
          <w:szCs w:val="28"/>
        </w:rPr>
        <w:t xml:space="preserve"> </w:t>
      </w:r>
      <w:r w:rsidRPr="00125521">
        <w:rPr>
          <w:rFonts w:ascii="Arial" w:hAnsi="Arial" w:cs="Arial"/>
          <w:b/>
          <w:sz w:val="28"/>
          <w:szCs w:val="28"/>
        </w:rPr>
        <w:t>[TECH COAST ANGELS]</w:t>
      </w:r>
    </w:p>
    <w:p w:rsidR="00D2223D" w:rsidRPr="00125521" w:rsidRDefault="00D2223D" w:rsidP="004B50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5521">
        <w:rPr>
          <w:rFonts w:ascii="Arial" w:hAnsi="Arial" w:cs="Arial"/>
          <w:b/>
          <w:sz w:val="28"/>
          <w:szCs w:val="28"/>
        </w:rPr>
        <w:t xml:space="preserve">SERIES </w:t>
      </w:r>
      <w:proofErr w:type="gramStart"/>
      <w:r w:rsidRPr="00125521">
        <w:rPr>
          <w:rFonts w:ascii="Arial" w:hAnsi="Arial" w:cs="Arial"/>
          <w:b/>
          <w:sz w:val="28"/>
          <w:szCs w:val="28"/>
        </w:rPr>
        <w:t>A</w:t>
      </w:r>
      <w:proofErr w:type="gramEnd"/>
      <w:r w:rsidRPr="00125521">
        <w:rPr>
          <w:rFonts w:ascii="Arial" w:hAnsi="Arial" w:cs="Arial"/>
          <w:b/>
          <w:sz w:val="28"/>
          <w:szCs w:val="28"/>
        </w:rPr>
        <w:t xml:space="preserve"> PREFERRED STOCK</w:t>
      </w:r>
    </w:p>
    <w:p w:rsidR="00D2223D" w:rsidRPr="00125521" w:rsidRDefault="00D2223D" w:rsidP="004B50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521">
        <w:rPr>
          <w:rFonts w:ascii="Arial" w:hAnsi="Arial" w:cs="Arial"/>
          <w:b/>
          <w:sz w:val="28"/>
          <w:szCs w:val="28"/>
        </w:rPr>
        <w:t>TERM SHEET</w:t>
      </w:r>
    </w:p>
    <w:p w:rsidR="004B50B6" w:rsidRPr="00125521" w:rsidRDefault="004B50B6" w:rsidP="004B5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223D" w:rsidRPr="00125521" w:rsidRDefault="009E59EF" w:rsidP="004B50B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521">
        <w:rPr>
          <w:rFonts w:ascii="Arial" w:hAnsi="Arial" w:cs="Arial"/>
          <w:sz w:val="20"/>
          <w:szCs w:val="20"/>
        </w:rPr>
        <w:t xml:space="preserve">We are pleased to present to </w:t>
      </w:r>
      <w:r w:rsidR="00B7128B" w:rsidRPr="00125521">
        <w:rPr>
          <w:rFonts w:ascii="Arial" w:hAnsi="Arial" w:cs="Arial"/>
          <w:sz w:val="20"/>
          <w:szCs w:val="20"/>
        </w:rPr>
        <w:t xml:space="preserve">____________ </w:t>
      </w:r>
      <w:r w:rsidR="00D2223D" w:rsidRPr="00125521">
        <w:rPr>
          <w:rFonts w:ascii="Arial" w:hAnsi="Arial" w:cs="Arial"/>
          <w:sz w:val="20"/>
          <w:szCs w:val="20"/>
        </w:rPr>
        <w:t>this non-binding term sheet</w:t>
      </w:r>
      <w:r w:rsidRPr="00125521">
        <w:rPr>
          <w:rFonts w:ascii="Arial" w:hAnsi="Arial" w:cs="Arial"/>
          <w:sz w:val="20"/>
          <w:szCs w:val="20"/>
        </w:rPr>
        <w:t xml:space="preserve"> for an investment led by members of [Pasadena Angels] [Tech Coast Angels].  </w:t>
      </w:r>
      <w:r w:rsidR="001E4CE9" w:rsidRPr="00125521">
        <w:rPr>
          <w:rFonts w:ascii="Arial" w:hAnsi="Arial" w:cs="Arial"/>
          <w:sz w:val="20"/>
          <w:szCs w:val="20"/>
        </w:rPr>
        <w:t>Binding c</w:t>
      </w:r>
      <w:r w:rsidRPr="00125521">
        <w:rPr>
          <w:rFonts w:ascii="Arial" w:hAnsi="Arial" w:cs="Arial"/>
          <w:sz w:val="20"/>
          <w:szCs w:val="20"/>
        </w:rPr>
        <w:t xml:space="preserve">ommitments to invest will be made only through the signature of </w:t>
      </w:r>
      <w:r w:rsidR="001E4CE9" w:rsidRPr="00125521">
        <w:rPr>
          <w:rFonts w:ascii="Arial" w:hAnsi="Arial" w:cs="Arial"/>
          <w:sz w:val="20"/>
          <w:szCs w:val="20"/>
        </w:rPr>
        <w:t>definitive investment documents by individual angels.</w:t>
      </w:r>
      <w:r w:rsidR="002A5BF2" w:rsidRPr="00125521">
        <w:rPr>
          <w:rFonts w:ascii="Arial" w:hAnsi="Arial" w:cs="Arial"/>
          <w:sz w:val="20"/>
          <w:szCs w:val="20"/>
        </w:rPr>
        <w:t xml:space="preserve">  </w:t>
      </w:r>
      <w:r w:rsidR="002A5BF2" w:rsidRPr="00125521">
        <w:rPr>
          <w:rFonts w:ascii="Arial" w:hAnsi="Arial" w:cs="Arial"/>
          <w:sz w:val="20"/>
          <w:szCs w:val="20"/>
        </w:rPr>
        <w:t>The company should not have an expectation of privacy with respect to the financing or the company information provided to investors.</w:t>
      </w:r>
      <w:bookmarkStart w:id="0" w:name="_GoBack"/>
      <w:bookmarkEnd w:id="0"/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830"/>
      </w:tblGrid>
      <w:tr w:rsidR="00D2223D" w:rsidRPr="00125521" w:rsidTr="0008535B">
        <w:tc>
          <w:tcPr>
            <w:tcW w:w="2160" w:type="dxa"/>
          </w:tcPr>
          <w:p w:rsidR="0061001C" w:rsidRPr="00125521" w:rsidRDefault="00D2223D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Stock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D2223D" w:rsidRDefault="00D2223D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Series A Preferred Stock</w:t>
            </w:r>
          </w:p>
          <w:p w:rsidR="00EF2E9E" w:rsidRPr="00125521" w:rsidRDefault="00EF2E9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D" w:rsidRPr="00125521" w:rsidTr="0008535B">
        <w:tc>
          <w:tcPr>
            <w:tcW w:w="2160" w:type="dxa"/>
          </w:tcPr>
          <w:p w:rsidR="001E4CE9" w:rsidRPr="00125521" w:rsidRDefault="00D2223D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Valuation</w:t>
            </w:r>
            <w:r w:rsidR="001E4CE9" w:rsidRPr="00125521">
              <w:rPr>
                <w:rFonts w:ascii="Arial" w:hAnsi="Arial" w:cs="Arial"/>
                <w:b/>
                <w:sz w:val="20"/>
                <w:szCs w:val="20"/>
              </w:rPr>
              <w:t xml:space="preserve"> and Capitalization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D2223D" w:rsidRDefault="008907BD" w:rsidP="00F47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 xml:space="preserve">$______ per share, based on a pre-money valuation of </w:t>
            </w:r>
            <w:r w:rsidR="00D2223D" w:rsidRPr="00125521">
              <w:rPr>
                <w:rFonts w:ascii="Arial" w:hAnsi="Arial" w:cs="Arial"/>
                <w:sz w:val="20"/>
                <w:szCs w:val="20"/>
              </w:rPr>
              <w:t>$_____________</w:t>
            </w:r>
            <w:r w:rsidR="00A80E0B" w:rsidRPr="00125521">
              <w:rPr>
                <w:rFonts w:ascii="Arial" w:hAnsi="Arial" w:cs="Arial"/>
                <w:sz w:val="20"/>
                <w:szCs w:val="20"/>
              </w:rPr>
              <w:t>.  Se</w:t>
            </w:r>
            <w:r w:rsidRPr="00125521">
              <w:rPr>
                <w:rFonts w:ascii="Arial" w:hAnsi="Arial" w:cs="Arial"/>
                <w:sz w:val="20"/>
                <w:szCs w:val="20"/>
              </w:rPr>
              <w:t>e Exhibit A capitalization t</w:t>
            </w:r>
            <w:r w:rsidR="00A80E0B" w:rsidRPr="00125521">
              <w:rPr>
                <w:rFonts w:ascii="Arial" w:hAnsi="Arial" w:cs="Arial"/>
                <w:sz w:val="20"/>
                <w:szCs w:val="20"/>
              </w:rPr>
              <w:t>able.</w:t>
            </w:r>
          </w:p>
          <w:p w:rsidR="00EF2E9E" w:rsidRPr="00125521" w:rsidRDefault="00EF2E9E" w:rsidP="00F47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E0B" w:rsidRPr="00125521" w:rsidTr="0008535B">
        <w:tc>
          <w:tcPr>
            <w:tcW w:w="2160" w:type="dxa"/>
          </w:tcPr>
          <w:p w:rsidR="0061001C" w:rsidRPr="00125521" w:rsidRDefault="00A80E0B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 xml:space="preserve">Minimum </w:t>
            </w:r>
            <w:r w:rsidR="00E7171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2A5BF2" w:rsidRPr="00125521">
              <w:rPr>
                <w:rFonts w:ascii="Arial" w:hAnsi="Arial" w:cs="Arial"/>
                <w:b/>
                <w:sz w:val="20"/>
                <w:szCs w:val="20"/>
              </w:rPr>
              <w:t xml:space="preserve"> Maximum </w:t>
            </w:r>
            <w:r w:rsidRPr="00125521">
              <w:rPr>
                <w:rFonts w:ascii="Arial" w:hAnsi="Arial" w:cs="Arial"/>
                <w:b/>
                <w:sz w:val="20"/>
                <w:szCs w:val="20"/>
              </w:rPr>
              <w:t>Raise</w:t>
            </w:r>
            <w:r w:rsidR="002A5BF2" w:rsidRPr="00125521">
              <w:rPr>
                <w:rFonts w:ascii="Arial" w:hAnsi="Arial" w:cs="Arial"/>
                <w:b/>
                <w:sz w:val="20"/>
                <w:szCs w:val="20"/>
              </w:rPr>
              <w:t>, Closings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A80E0B" w:rsidRPr="00125521" w:rsidRDefault="00F47659" w:rsidP="00F47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Initial closing will have a m</w:t>
            </w:r>
            <w:r w:rsidR="002A5BF2" w:rsidRPr="00125521">
              <w:rPr>
                <w:rFonts w:ascii="Arial" w:hAnsi="Arial" w:cs="Arial"/>
                <w:sz w:val="20"/>
                <w:szCs w:val="20"/>
              </w:rPr>
              <w:t xml:space="preserve">inimum raise of </w:t>
            </w:r>
            <w:r w:rsidR="00A80E0B" w:rsidRPr="00125521">
              <w:rPr>
                <w:rFonts w:ascii="Arial" w:hAnsi="Arial" w:cs="Arial"/>
                <w:sz w:val="20"/>
                <w:szCs w:val="20"/>
              </w:rPr>
              <w:t>$____</w:t>
            </w:r>
            <w:r w:rsidR="00E83B96" w:rsidRPr="00125521">
              <w:rPr>
                <w:rFonts w:ascii="Arial" w:hAnsi="Arial" w:cs="Arial"/>
                <w:sz w:val="20"/>
                <w:szCs w:val="20"/>
              </w:rPr>
              <w:t>_</w:t>
            </w:r>
            <w:r w:rsidR="00E7171E">
              <w:rPr>
                <w:rFonts w:ascii="Arial" w:hAnsi="Arial" w:cs="Arial"/>
                <w:sz w:val="20"/>
                <w:szCs w:val="20"/>
              </w:rPr>
              <w:t>___</w:t>
            </w:r>
            <w:r w:rsidR="009E3767" w:rsidRPr="00125521">
              <w:rPr>
                <w:rFonts w:ascii="Arial" w:hAnsi="Arial" w:cs="Arial"/>
                <w:sz w:val="20"/>
                <w:szCs w:val="20"/>
              </w:rPr>
              <w:t xml:space="preserve"> (excluding </w:t>
            </w:r>
            <w:r w:rsidRPr="00125521">
              <w:rPr>
                <w:rFonts w:ascii="Arial" w:hAnsi="Arial" w:cs="Arial"/>
                <w:sz w:val="20"/>
                <w:szCs w:val="20"/>
              </w:rPr>
              <w:t>conversion of any existing debt</w:t>
            </w:r>
            <w:r w:rsidR="00E7171E">
              <w:rPr>
                <w:rFonts w:ascii="Arial" w:hAnsi="Arial" w:cs="Arial"/>
                <w:sz w:val="20"/>
                <w:szCs w:val="20"/>
              </w:rPr>
              <w:t>)</w:t>
            </w:r>
            <w:r w:rsidR="002A5BF2" w:rsidRPr="00125521">
              <w:rPr>
                <w:rFonts w:ascii="Arial" w:hAnsi="Arial" w:cs="Arial"/>
                <w:sz w:val="20"/>
                <w:szCs w:val="20"/>
              </w:rPr>
              <w:t xml:space="preserve">.  Subsequent closings may occur for 90 days after initial closing.  Maximum total </w:t>
            </w:r>
            <w:r w:rsidRPr="00125521">
              <w:rPr>
                <w:rFonts w:ascii="Arial" w:hAnsi="Arial" w:cs="Arial"/>
                <w:sz w:val="20"/>
                <w:szCs w:val="20"/>
              </w:rPr>
              <w:t>raise is</w:t>
            </w:r>
            <w:r w:rsidR="002A5BF2" w:rsidRPr="00125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BF2" w:rsidRPr="00125521">
              <w:rPr>
                <w:rFonts w:ascii="Arial" w:hAnsi="Arial" w:cs="Arial"/>
                <w:sz w:val="20"/>
                <w:szCs w:val="20"/>
              </w:rPr>
              <w:t>$______</w:t>
            </w:r>
            <w:r w:rsidR="00E83B96" w:rsidRPr="00125521">
              <w:rPr>
                <w:rFonts w:ascii="Arial" w:hAnsi="Arial" w:cs="Arial"/>
                <w:sz w:val="20"/>
                <w:szCs w:val="20"/>
              </w:rPr>
              <w:t>__</w:t>
            </w:r>
            <w:r w:rsidR="002A5BF2" w:rsidRPr="00125521">
              <w:rPr>
                <w:rFonts w:ascii="Arial" w:hAnsi="Arial" w:cs="Arial"/>
                <w:sz w:val="20"/>
                <w:szCs w:val="20"/>
              </w:rPr>
              <w:t xml:space="preserve"> (including conversion of approximately $_</w:t>
            </w:r>
            <w:r w:rsidR="00E83B96" w:rsidRPr="00125521">
              <w:rPr>
                <w:rFonts w:ascii="Arial" w:hAnsi="Arial" w:cs="Arial"/>
                <w:sz w:val="20"/>
                <w:szCs w:val="20"/>
              </w:rPr>
              <w:t>_</w:t>
            </w:r>
            <w:r w:rsidR="002A5BF2" w:rsidRPr="00125521">
              <w:rPr>
                <w:rFonts w:ascii="Arial" w:hAnsi="Arial" w:cs="Arial"/>
                <w:sz w:val="20"/>
                <w:szCs w:val="20"/>
              </w:rPr>
              <w:t>______ existing debt)</w:t>
            </w:r>
            <w:r w:rsidR="002A5BF2" w:rsidRPr="001255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659" w:rsidRPr="00125521" w:rsidRDefault="00F47659" w:rsidP="00F47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D" w:rsidRPr="00125521" w:rsidTr="0008535B">
        <w:tc>
          <w:tcPr>
            <w:tcW w:w="2160" w:type="dxa"/>
          </w:tcPr>
          <w:p w:rsidR="0061001C" w:rsidRPr="00125521" w:rsidRDefault="00D2223D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Dividends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D2223D" w:rsidRDefault="00D2223D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[None] [7% accruing]</w:t>
            </w:r>
          </w:p>
          <w:p w:rsidR="00EF2E9E" w:rsidRPr="00125521" w:rsidRDefault="00EF2E9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D" w:rsidRPr="00125521" w:rsidTr="0008535B">
        <w:tc>
          <w:tcPr>
            <w:tcW w:w="2160" w:type="dxa"/>
          </w:tcPr>
          <w:p w:rsidR="0061001C" w:rsidRPr="00125521" w:rsidRDefault="00A80E0B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Liquidation Preference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A80E0B" w:rsidRPr="00125521" w:rsidRDefault="00A80E0B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[1x invested capital]</w:t>
            </w:r>
          </w:p>
          <w:p w:rsidR="00D2223D" w:rsidRDefault="00A80E0B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[1x invested capital plus accrued dividends]</w:t>
            </w:r>
          </w:p>
          <w:p w:rsidR="00EF2E9E" w:rsidRPr="00125521" w:rsidRDefault="00EF2E9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D" w:rsidRPr="00125521" w:rsidTr="0008535B">
        <w:tc>
          <w:tcPr>
            <w:tcW w:w="2160" w:type="dxa"/>
          </w:tcPr>
          <w:p w:rsidR="0061001C" w:rsidRPr="00125521" w:rsidRDefault="00A80E0B" w:rsidP="004B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Participation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A80E0B" w:rsidRPr="00125521" w:rsidRDefault="00A80E0B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[Non-Participating.  On a sale</w:t>
            </w:r>
            <w:r w:rsidR="00E041FA" w:rsidRPr="00125521">
              <w:rPr>
                <w:rFonts w:ascii="Arial" w:hAnsi="Arial" w:cs="Arial"/>
                <w:sz w:val="20"/>
                <w:szCs w:val="20"/>
              </w:rPr>
              <w:t xml:space="preserve"> or dissolution</w:t>
            </w:r>
            <w:r w:rsidRPr="00125521">
              <w:rPr>
                <w:rFonts w:ascii="Arial" w:hAnsi="Arial" w:cs="Arial"/>
                <w:sz w:val="20"/>
                <w:szCs w:val="20"/>
              </w:rPr>
              <w:t>, investors receive the Liquidation Preference, and all remaining proceeds are paid to the common.]</w:t>
            </w:r>
          </w:p>
          <w:p w:rsidR="001E4CE9" w:rsidRPr="00125521" w:rsidRDefault="001E4CE9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223D" w:rsidRDefault="00A80E0B" w:rsidP="00E041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[Participating Preferred with 2x cap.  On a sale</w:t>
            </w:r>
            <w:r w:rsidR="00E041FA" w:rsidRPr="00125521">
              <w:rPr>
                <w:rFonts w:ascii="Arial" w:hAnsi="Arial" w:cs="Arial"/>
                <w:sz w:val="20"/>
                <w:szCs w:val="20"/>
              </w:rPr>
              <w:t xml:space="preserve"> or dissolution</w:t>
            </w:r>
            <w:r w:rsidRPr="00125521">
              <w:rPr>
                <w:rFonts w:ascii="Arial" w:hAnsi="Arial" w:cs="Arial"/>
                <w:sz w:val="20"/>
                <w:szCs w:val="20"/>
              </w:rPr>
              <w:t xml:space="preserve">, after payment </w:t>
            </w:r>
            <w:r w:rsidR="00E041FA" w:rsidRPr="0012552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907BD" w:rsidRPr="00125521">
              <w:rPr>
                <w:rFonts w:ascii="Arial" w:hAnsi="Arial" w:cs="Arial"/>
                <w:sz w:val="20"/>
                <w:szCs w:val="20"/>
              </w:rPr>
              <w:t xml:space="preserve">investors </w:t>
            </w:r>
            <w:r w:rsidRPr="00125521">
              <w:rPr>
                <w:rFonts w:ascii="Arial" w:hAnsi="Arial" w:cs="Arial"/>
                <w:sz w:val="20"/>
                <w:szCs w:val="20"/>
              </w:rPr>
              <w:t xml:space="preserve">of the Liquidation Preference, proceeds will be paid pro-rata to the preferred and </w:t>
            </w:r>
            <w:r w:rsidR="00E041FA" w:rsidRPr="001255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25521">
              <w:rPr>
                <w:rFonts w:ascii="Arial" w:hAnsi="Arial" w:cs="Arial"/>
                <w:sz w:val="20"/>
                <w:szCs w:val="20"/>
              </w:rPr>
              <w:t xml:space="preserve">common until the preferred has received 2x its investment.  All remaining proceeds </w:t>
            </w:r>
            <w:r w:rsidR="00E041FA" w:rsidRPr="00125521">
              <w:rPr>
                <w:rFonts w:ascii="Arial" w:hAnsi="Arial" w:cs="Arial"/>
                <w:sz w:val="20"/>
                <w:szCs w:val="20"/>
              </w:rPr>
              <w:t xml:space="preserve">are paid </w:t>
            </w:r>
            <w:r w:rsidRPr="0012552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041FA" w:rsidRPr="001255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25521">
              <w:rPr>
                <w:rFonts w:ascii="Arial" w:hAnsi="Arial" w:cs="Arial"/>
                <w:sz w:val="20"/>
                <w:szCs w:val="20"/>
              </w:rPr>
              <w:t>common.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EF2E9E" w:rsidRPr="00125521" w:rsidRDefault="00EF2E9E" w:rsidP="00E041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7BD" w:rsidRPr="00125521" w:rsidTr="0008535B">
        <w:tc>
          <w:tcPr>
            <w:tcW w:w="2160" w:type="dxa"/>
          </w:tcPr>
          <w:p w:rsidR="0061001C" w:rsidRPr="00125521" w:rsidRDefault="00EC0098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8907BD" w:rsidRPr="00125521">
              <w:rPr>
                <w:rFonts w:ascii="Arial" w:hAnsi="Arial" w:cs="Arial"/>
                <w:b/>
                <w:sz w:val="20"/>
                <w:szCs w:val="20"/>
              </w:rPr>
              <w:t>Warrants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5521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7830" w:type="dxa"/>
          </w:tcPr>
          <w:p w:rsidR="008907BD" w:rsidRPr="00125521" w:rsidRDefault="00EC0098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[</w:t>
            </w:r>
            <w:r w:rsidR="00063B7B" w:rsidRPr="00125521">
              <w:rPr>
                <w:rFonts w:ascii="Arial" w:hAnsi="Arial" w:cs="Arial"/>
                <w:sz w:val="20"/>
                <w:szCs w:val="20"/>
              </w:rPr>
              <w:t xml:space="preserve">_____% warrant coverage.  Investors </w:t>
            </w:r>
            <w:r w:rsidRPr="00125521">
              <w:rPr>
                <w:rFonts w:ascii="Arial" w:hAnsi="Arial" w:cs="Arial"/>
                <w:sz w:val="20"/>
                <w:szCs w:val="20"/>
              </w:rPr>
              <w:t xml:space="preserve">[in the initial closing] </w:t>
            </w:r>
            <w:r w:rsidR="00063B7B" w:rsidRPr="00125521">
              <w:rPr>
                <w:rFonts w:ascii="Arial" w:hAnsi="Arial" w:cs="Arial"/>
                <w:sz w:val="20"/>
                <w:szCs w:val="20"/>
              </w:rPr>
              <w:t xml:space="preserve">receive </w:t>
            </w:r>
            <w:r w:rsidR="00A1755C" w:rsidRPr="00125521">
              <w:rPr>
                <w:rFonts w:ascii="Arial" w:hAnsi="Arial" w:cs="Arial"/>
                <w:sz w:val="20"/>
                <w:szCs w:val="20"/>
              </w:rPr>
              <w:t>5</w:t>
            </w:r>
            <w:r w:rsidR="00063B7B" w:rsidRPr="00125521">
              <w:rPr>
                <w:rFonts w:ascii="Arial" w:hAnsi="Arial" w:cs="Arial"/>
                <w:sz w:val="20"/>
                <w:szCs w:val="20"/>
              </w:rPr>
              <w:t xml:space="preserve"> year warrants to purchase the number of </w:t>
            </w:r>
            <w:r w:rsidR="0090777F" w:rsidRPr="00125521">
              <w:rPr>
                <w:rFonts w:ascii="Arial" w:hAnsi="Arial" w:cs="Arial"/>
                <w:sz w:val="20"/>
                <w:szCs w:val="20"/>
              </w:rPr>
              <w:t>[</w:t>
            </w:r>
            <w:r w:rsidR="00063B7B" w:rsidRPr="00125521">
              <w:rPr>
                <w:rFonts w:ascii="Arial" w:hAnsi="Arial" w:cs="Arial"/>
                <w:sz w:val="20"/>
                <w:szCs w:val="20"/>
              </w:rPr>
              <w:t>Series A Preferred Stock</w:t>
            </w:r>
            <w:r w:rsidR="0090777F" w:rsidRPr="00125521">
              <w:rPr>
                <w:rFonts w:ascii="Arial" w:hAnsi="Arial" w:cs="Arial"/>
                <w:sz w:val="20"/>
                <w:szCs w:val="20"/>
              </w:rPr>
              <w:t>] [common stock]</w:t>
            </w:r>
            <w:r w:rsidR="00063B7B" w:rsidRPr="00125521">
              <w:rPr>
                <w:rFonts w:ascii="Arial" w:hAnsi="Arial" w:cs="Arial"/>
                <w:sz w:val="20"/>
                <w:szCs w:val="20"/>
              </w:rPr>
              <w:t xml:space="preserve"> equal to the</w:t>
            </w:r>
            <w:r w:rsidR="009E3767" w:rsidRPr="00125521">
              <w:rPr>
                <w:rFonts w:ascii="Arial" w:hAnsi="Arial" w:cs="Arial"/>
                <w:sz w:val="20"/>
                <w:szCs w:val="20"/>
              </w:rPr>
              <w:t>ir</w:t>
            </w:r>
            <w:r w:rsidR="00063B7B" w:rsidRPr="00125521">
              <w:rPr>
                <w:rFonts w:ascii="Arial" w:hAnsi="Arial" w:cs="Arial"/>
                <w:sz w:val="20"/>
                <w:szCs w:val="20"/>
              </w:rPr>
              <w:t xml:space="preserve"> investment amount times ____%, divided by the Series A price per share.  The warrant exercise price is [$.001 per share] [the price per share of the Series A].  </w:t>
            </w:r>
            <w:r w:rsidR="007D7BBE" w:rsidRPr="00125521">
              <w:rPr>
                <w:rFonts w:ascii="Arial" w:hAnsi="Arial" w:cs="Arial"/>
                <w:sz w:val="20"/>
                <w:szCs w:val="20"/>
              </w:rPr>
              <w:t>[___% of the warrants are redeemable by the company if the company meets the following performance milestone(s): ________]</w:t>
            </w:r>
            <w:r w:rsidR="00D96036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D7BBE" w:rsidRPr="00125521" w:rsidRDefault="007D7BB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767" w:rsidRPr="00125521" w:rsidTr="0008535B">
        <w:tc>
          <w:tcPr>
            <w:tcW w:w="2160" w:type="dxa"/>
          </w:tcPr>
          <w:p w:rsidR="0061001C" w:rsidRPr="00125521" w:rsidRDefault="009E3767" w:rsidP="004B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Use of Proceeds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9E3767" w:rsidRDefault="009E3767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General working capital.  No proceeds shall be u</w:t>
            </w:r>
            <w:r w:rsidR="00A1755C" w:rsidRPr="00125521">
              <w:rPr>
                <w:rFonts w:ascii="Arial" w:hAnsi="Arial" w:cs="Arial"/>
                <w:sz w:val="20"/>
                <w:szCs w:val="20"/>
              </w:rPr>
              <w:t xml:space="preserve">sed to repay prior investor or founder contributions, or </w:t>
            </w:r>
            <w:r w:rsidRPr="00125521">
              <w:rPr>
                <w:rFonts w:ascii="Arial" w:hAnsi="Arial" w:cs="Arial"/>
                <w:sz w:val="20"/>
                <w:szCs w:val="20"/>
              </w:rPr>
              <w:t>for accrued compensation.</w:t>
            </w:r>
          </w:p>
          <w:p w:rsidR="00EF2E9E" w:rsidRPr="00125521" w:rsidRDefault="00EF2E9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8C0" w:rsidRPr="00125521" w:rsidTr="0008535B">
        <w:tc>
          <w:tcPr>
            <w:tcW w:w="2160" w:type="dxa"/>
          </w:tcPr>
          <w:p w:rsidR="0061001C" w:rsidRPr="00125521" w:rsidRDefault="004928C0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Conversion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EF2E9E" w:rsidRDefault="004928C0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 xml:space="preserve">The Series A is convertible into common 1:1 at any time on a permissible basis, and on a mandatory basis upon a qualified IPO or majority vote of Series </w:t>
            </w:r>
            <w:proofErr w:type="gramStart"/>
            <w:r w:rsidRPr="0012552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125521">
              <w:rPr>
                <w:rFonts w:ascii="Arial" w:hAnsi="Arial" w:cs="Arial"/>
                <w:sz w:val="20"/>
                <w:szCs w:val="20"/>
              </w:rPr>
              <w:t xml:space="preserve"> investors.</w:t>
            </w:r>
          </w:p>
          <w:p w:rsidR="004928C0" w:rsidRPr="00125521" w:rsidRDefault="004928C0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223D" w:rsidRPr="00125521" w:rsidTr="0008535B">
        <w:tc>
          <w:tcPr>
            <w:tcW w:w="2160" w:type="dxa"/>
          </w:tcPr>
          <w:p w:rsidR="00EF2E9E" w:rsidRPr="00125521" w:rsidRDefault="000839A8" w:rsidP="004B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Preemptive Rights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D2223D" w:rsidRDefault="00A80E0B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Investors have the right to b</w:t>
            </w:r>
            <w:r w:rsidR="008907BD" w:rsidRPr="00125521">
              <w:rPr>
                <w:rFonts w:ascii="Arial" w:hAnsi="Arial" w:cs="Arial"/>
                <w:sz w:val="20"/>
                <w:szCs w:val="20"/>
              </w:rPr>
              <w:t>u</w:t>
            </w:r>
            <w:r w:rsidRPr="00125521">
              <w:rPr>
                <w:rFonts w:ascii="Arial" w:hAnsi="Arial" w:cs="Arial"/>
                <w:sz w:val="20"/>
                <w:szCs w:val="20"/>
              </w:rPr>
              <w:t>y their pro-rata share in future financing rounds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2E9E" w:rsidRPr="00125521" w:rsidRDefault="00EF2E9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259" w:rsidRPr="00125521" w:rsidTr="0008535B">
        <w:tc>
          <w:tcPr>
            <w:tcW w:w="2160" w:type="dxa"/>
          </w:tcPr>
          <w:p w:rsidR="00245259" w:rsidRPr="00125521" w:rsidRDefault="00245259" w:rsidP="004B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Anti-Dilution Protection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245259" w:rsidRPr="00125521" w:rsidRDefault="00245259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If the company in the future sells shares at a lesser price</w:t>
            </w:r>
            <w:r w:rsidR="001E4CE9" w:rsidRPr="00125521">
              <w:rPr>
                <w:rFonts w:ascii="Arial" w:hAnsi="Arial" w:cs="Arial"/>
                <w:sz w:val="20"/>
                <w:szCs w:val="20"/>
              </w:rPr>
              <w:t xml:space="preserve"> than the Series A</w:t>
            </w:r>
            <w:r w:rsidRPr="00125521">
              <w:rPr>
                <w:rFonts w:ascii="Arial" w:hAnsi="Arial" w:cs="Arial"/>
                <w:sz w:val="20"/>
                <w:szCs w:val="20"/>
              </w:rPr>
              <w:t>, investors receive weighted average anti</w:t>
            </w:r>
            <w:r w:rsidR="00042619" w:rsidRPr="00125521">
              <w:rPr>
                <w:rFonts w:ascii="Arial" w:hAnsi="Arial" w:cs="Arial"/>
                <w:sz w:val="20"/>
                <w:szCs w:val="20"/>
              </w:rPr>
              <w:t>-</w:t>
            </w:r>
            <w:r w:rsidRPr="00125521">
              <w:rPr>
                <w:rFonts w:ascii="Arial" w:hAnsi="Arial" w:cs="Arial"/>
                <w:sz w:val="20"/>
                <w:szCs w:val="20"/>
              </w:rPr>
              <w:t>dilution protection.  This does not apply to</w:t>
            </w:r>
            <w:r w:rsidR="003B2037" w:rsidRPr="00125521">
              <w:rPr>
                <w:rFonts w:ascii="Arial" w:hAnsi="Arial" w:cs="Arial"/>
                <w:sz w:val="20"/>
                <w:szCs w:val="20"/>
              </w:rPr>
              <w:t xml:space="preserve"> securities issued</w:t>
            </w:r>
            <w:r w:rsidRPr="001255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5259" w:rsidRPr="00125521" w:rsidRDefault="00245259" w:rsidP="004B50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under the company’s stock option plan</w:t>
            </w:r>
          </w:p>
          <w:p w:rsidR="00245259" w:rsidRPr="00125521" w:rsidRDefault="00042619" w:rsidP="004B50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to a</w:t>
            </w:r>
            <w:r w:rsidR="00B7128B" w:rsidRPr="00125521">
              <w:rPr>
                <w:rFonts w:ascii="Arial" w:hAnsi="Arial" w:cs="Arial"/>
                <w:sz w:val="20"/>
                <w:szCs w:val="20"/>
              </w:rPr>
              <w:t>c</w:t>
            </w:r>
            <w:r w:rsidRPr="00125521">
              <w:rPr>
                <w:rFonts w:ascii="Arial" w:hAnsi="Arial" w:cs="Arial"/>
                <w:sz w:val="20"/>
                <w:szCs w:val="20"/>
              </w:rPr>
              <w:t>quire another company</w:t>
            </w:r>
          </w:p>
          <w:p w:rsidR="001830F1" w:rsidRPr="00125521" w:rsidRDefault="003B2037" w:rsidP="004B50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in connection with a bank financing</w:t>
            </w:r>
          </w:p>
          <w:p w:rsidR="00245259" w:rsidRPr="00125521" w:rsidRDefault="001830F1" w:rsidP="004B50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upon stock splits, or upon conversion of the Series A or any convertible security presently outstanding</w:t>
            </w:r>
            <w:r w:rsidR="00245259" w:rsidRPr="001255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001C" w:rsidRDefault="00042619" w:rsidP="00EF2E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with the agreement of the Series A director</w:t>
            </w:r>
            <w:r w:rsidR="00EC0098" w:rsidRPr="00125521">
              <w:rPr>
                <w:rFonts w:ascii="Arial" w:hAnsi="Arial" w:cs="Arial"/>
                <w:sz w:val="20"/>
                <w:szCs w:val="20"/>
              </w:rPr>
              <w:t>(s)</w:t>
            </w:r>
            <w:r w:rsidRPr="00125521">
              <w:rPr>
                <w:rFonts w:ascii="Arial" w:hAnsi="Arial" w:cs="Arial"/>
                <w:sz w:val="20"/>
                <w:szCs w:val="20"/>
              </w:rPr>
              <w:t xml:space="preserve"> to waive anti-dilution</w:t>
            </w:r>
          </w:p>
          <w:p w:rsidR="00EF2E9E" w:rsidRPr="00125521" w:rsidRDefault="00EF2E9E" w:rsidP="00EF2E9E">
            <w:pPr>
              <w:pStyle w:val="ListParagraph"/>
              <w:ind w:left="7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354" w:rsidRPr="00125521" w:rsidTr="0008535B">
        <w:tc>
          <w:tcPr>
            <w:tcW w:w="2160" w:type="dxa"/>
          </w:tcPr>
          <w:p w:rsidR="0061001C" w:rsidRPr="00125521" w:rsidRDefault="003B2037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Option Plan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61001C" w:rsidRDefault="00B7128B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1001C" w:rsidRPr="00125521">
              <w:rPr>
                <w:rFonts w:ascii="Arial" w:hAnsi="Arial" w:cs="Arial"/>
                <w:sz w:val="20"/>
                <w:szCs w:val="20"/>
              </w:rPr>
              <w:t>c</w:t>
            </w:r>
            <w:r w:rsidR="003B2037" w:rsidRPr="00125521">
              <w:rPr>
                <w:rFonts w:ascii="Arial" w:hAnsi="Arial" w:cs="Arial"/>
                <w:sz w:val="20"/>
                <w:szCs w:val="20"/>
              </w:rPr>
              <w:t>ompany will have an equity incentive plan with a reserve equal to [10</w:t>
            </w:r>
            <w:r w:rsidR="00042619" w:rsidRPr="00125521">
              <w:rPr>
                <w:rFonts w:ascii="Arial" w:hAnsi="Arial" w:cs="Arial"/>
                <w:sz w:val="20"/>
                <w:szCs w:val="20"/>
              </w:rPr>
              <w:t xml:space="preserve">%-20%] of </w:t>
            </w:r>
            <w:r w:rsidR="00042619" w:rsidRPr="00125521">
              <w:rPr>
                <w:rFonts w:ascii="Arial" w:hAnsi="Arial" w:cs="Arial"/>
                <w:sz w:val="20"/>
                <w:szCs w:val="20"/>
              </w:rPr>
              <w:lastRenderedPageBreak/>
              <w:t>the post-financing fully-diluted capitalization.</w:t>
            </w:r>
          </w:p>
          <w:p w:rsidR="00EF2E9E" w:rsidRPr="00125521" w:rsidRDefault="00EF2E9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37" w:rsidRPr="00125521" w:rsidTr="0008535B">
        <w:tc>
          <w:tcPr>
            <w:tcW w:w="2160" w:type="dxa"/>
          </w:tcPr>
          <w:p w:rsidR="0061001C" w:rsidRPr="00125521" w:rsidRDefault="003B2037" w:rsidP="004B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lastRenderedPageBreak/>
              <w:t>Key Person Vesting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3B2037" w:rsidRDefault="00042619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For ______________________, ___% of shares shall be vested upfront, and the remaining ___% shall be subject to monthly vesting over 4 years.</w:t>
            </w:r>
          </w:p>
          <w:p w:rsidR="00644FEA" w:rsidRPr="00125521" w:rsidRDefault="00644FEA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37" w:rsidRPr="00125521" w:rsidTr="0008535B">
        <w:tc>
          <w:tcPr>
            <w:tcW w:w="2160" w:type="dxa"/>
          </w:tcPr>
          <w:p w:rsidR="0061001C" w:rsidRPr="00125521" w:rsidRDefault="00042619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44FEA">
              <w:rPr>
                <w:rFonts w:ascii="Arial" w:hAnsi="Arial" w:cs="Arial"/>
                <w:b/>
                <w:sz w:val="20"/>
                <w:szCs w:val="20"/>
              </w:rPr>
              <w:t xml:space="preserve">ntellectual Property, </w:t>
            </w:r>
            <w:r w:rsidR="00120F8F" w:rsidRPr="00125521">
              <w:rPr>
                <w:rFonts w:ascii="Arial" w:hAnsi="Arial" w:cs="Arial"/>
                <w:b/>
                <w:sz w:val="20"/>
                <w:szCs w:val="20"/>
              </w:rPr>
              <w:t>Non-Solicitation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3B2037" w:rsidRDefault="00042619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All employees and consultants will have signed standard agreements assigning their</w:t>
            </w:r>
            <w:r w:rsidR="0061001C" w:rsidRPr="00125521">
              <w:rPr>
                <w:rFonts w:ascii="Arial" w:hAnsi="Arial" w:cs="Arial"/>
                <w:sz w:val="20"/>
                <w:szCs w:val="20"/>
              </w:rPr>
              <w:t xml:space="preserve"> intellectual property to the c</w:t>
            </w:r>
            <w:r w:rsidR="00120F8F" w:rsidRPr="00125521">
              <w:rPr>
                <w:rFonts w:ascii="Arial" w:hAnsi="Arial" w:cs="Arial"/>
                <w:sz w:val="20"/>
                <w:szCs w:val="20"/>
              </w:rPr>
              <w:t>ompany and agreeing not to solicit company personnel.</w:t>
            </w:r>
          </w:p>
          <w:p w:rsidR="00EF2E9E" w:rsidRDefault="00EF2E9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FEA" w:rsidRPr="00125521" w:rsidRDefault="00644FEA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0F1" w:rsidRPr="00125521" w:rsidTr="0008535B">
        <w:tc>
          <w:tcPr>
            <w:tcW w:w="2160" w:type="dxa"/>
          </w:tcPr>
          <w:p w:rsidR="0061001C" w:rsidRPr="00125521" w:rsidRDefault="001E2D50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Voting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1830F1" w:rsidRDefault="001E2D50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Series A votes on an as-converted to common basis.</w:t>
            </w:r>
          </w:p>
          <w:p w:rsidR="00EF2E9E" w:rsidRPr="00125521" w:rsidRDefault="00EF2E9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D" w:rsidRPr="00125521" w:rsidTr="0008535B">
        <w:tc>
          <w:tcPr>
            <w:tcW w:w="2160" w:type="dxa"/>
          </w:tcPr>
          <w:p w:rsidR="0061001C" w:rsidRPr="00125521" w:rsidRDefault="000839A8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Board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D2223D" w:rsidRDefault="001E4CE9" w:rsidP="00085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 xml:space="preserve">There will be </w:t>
            </w:r>
            <w:r w:rsidR="0008535B" w:rsidRPr="00125521">
              <w:rPr>
                <w:rFonts w:ascii="Arial" w:hAnsi="Arial" w:cs="Arial"/>
                <w:sz w:val="20"/>
                <w:szCs w:val="20"/>
              </w:rPr>
              <w:t>___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 xml:space="preserve"> directors</w:t>
            </w:r>
            <w:r w:rsidRPr="00125521">
              <w:rPr>
                <w:rFonts w:ascii="Arial" w:hAnsi="Arial" w:cs="Arial"/>
                <w:sz w:val="20"/>
                <w:szCs w:val="20"/>
              </w:rPr>
              <w:t xml:space="preserve"> on the board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8535B" w:rsidRPr="00125521">
              <w:rPr>
                <w:rFonts w:ascii="Arial" w:hAnsi="Arial" w:cs="Arial"/>
                <w:sz w:val="20"/>
                <w:szCs w:val="20"/>
              </w:rPr>
              <w:t>___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 xml:space="preserve"> will be elected by </w:t>
            </w:r>
            <w:r w:rsidR="00042619" w:rsidRPr="00125521">
              <w:rPr>
                <w:rFonts w:ascii="Arial" w:hAnsi="Arial" w:cs="Arial"/>
                <w:sz w:val="20"/>
                <w:szCs w:val="20"/>
              </w:rPr>
              <w:t xml:space="preserve">a majority of 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>the</w:t>
            </w:r>
            <w:r w:rsidR="001830F1" w:rsidRPr="00125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D50" w:rsidRPr="00125521">
              <w:rPr>
                <w:rFonts w:ascii="Arial" w:hAnsi="Arial" w:cs="Arial"/>
                <w:sz w:val="20"/>
                <w:szCs w:val="20"/>
              </w:rPr>
              <w:t xml:space="preserve">[PA/TCA members holding] </w:t>
            </w:r>
            <w:r w:rsidR="001830F1" w:rsidRPr="00125521">
              <w:rPr>
                <w:rFonts w:ascii="Arial" w:hAnsi="Arial" w:cs="Arial"/>
                <w:sz w:val="20"/>
                <w:szCs w:val="20"/>
              </w:rPr>
              <w:t>Series A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8535B" w:rsidRPr="00125521">
              <w:rPr>
                <w:rFonts w:ascii="Arial" w:hAnsi="Arial" w:cs="Arial"/>
                <w:sz w:val="20"/>
                <w:szCs w:val="20"/>
              </w:rPr>
              <w:t>___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 xml:space="preserve"> will be elected by </w:t>
            </w:r>
            <w:r w:rsidR="00042619" w:rsidRPr="00125521">
              <w:rPr>
                <w:rFonts w:ascii="Arial" w:hAnsi="Arial" w:cs="Arial"/>
                <w:sz w:val="20"/>
                <w:szCs w:val="20"/>
              </w:rPr>
              <w:t xml:space="preserve">a majority of 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 xml:space="preserve">the common, and </w:t>
            </w:r>
            <w:r w:rsidR="0008535B" w:rsidRPr="00125521">
              <w:rPr>
                <w:rFonts w:ascii="Arial" w:hAnsi="Arial" w:cs="Arial"/>
                <w:sz w:val="20"/>
                <w:szCs w:val="20"/>
              </w:rPr>
              <w:t>___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 xml:space="preserve"> will be mutually chosen by </w:t>
            </w:r>
            <w:r w:rsidR="008907BD" w:rsidRPr="00125521">
              <w:rPr>
                <w:rFonts w:ascii="Arial" w:hAnsi="Arial" w:cs="Arial"/>
                <w:sz w:val="20"/>
                <w:szCs w:val="20"/>
              </w:rPr>
              <w:t xml:space="preserve">a majority of 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25521">
              <w:rPr>
                <w:rFonts w:ascii="Arial" w:hAnsi="Arial" w:cs="Arial"/>
                <w:sz w:val="20"/>
                <w:szCs w:val="20"/>
              </w:rPr>
              <w:t xml:space="preserve">[PA/TCA members holding] </w:t>
            </w:r>
            <w:r w:rsidR="001E2D50" w:rsidRPr="00125521">
              <w:rPr>
                <w:rFonts w:ascii="Arial" w:hAnsi="Arial" w:cs="Arial"/>
                <w:sz w:val="20"/>
                <w:szCs w:val="20"/>
              </w:rPr>
              <w:t>Series A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907BD" w:rsidRPr="00125521">
              <w:rPr>
                <w:rFonts w:ascii="Arial" w:hAnsi="Arial" w:cs="Arial"/>
                <w:sz w:val="20"/>
                <w:szCs w:val="20"/>
              </w:rPr>
              <w:t xml:space="preserve">a majority of </w:t>
            </w:r>
            <w:r w:rsidR="000839A8" w:rsidRPr="00125521">
              <w:rPr>
                <w:rFonts w:ascii="Arial" w:hAnsi="Arial" w:cs="Arial"/>
                <w:sz w:val="20"/>
                <w:szCs w:val="20"/>
              </w:rPr>
              <w:t>the common.</w:t>
            </w:r>
          </w:p>
          <w:p w:rsidR="00EF2E9E" w:rsidRPr="00125521" w:rsidRDefault="00EF2E9E" w:rsidP="00085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37" w:rsidRPr="00125521" w:rsidTr="0008535B">
        <w:tc>
          <w:tcPr>
            <w:tcW w:w="2160" w:type="dxa"/>
          </w:tcPr>
          <w:p w:rsidR="0061001C" w:rsidRPr="00125521" w:rsidRDefault="00042619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Protective Provisions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3B2037" w:rsidRPr="00125521" w:rsidRDefault="00B7128B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1001C" w:rsidRPr="00125521">
              <w:rPr>
                <w:rFonts w:ascii="Arial" w:hAnsi="Arial" w:cs="Arial"/>
                <w:sz w:val="20"/>
                <w:szCs w:val="20"/>
              </w:rPr>
              <w:t>b</w:t>
            </w:r>
            <w:r w:rsidR="0008021F" w:rsidRPr="00125521">
              <w:rPr>
                <w:rFonts w:ascii="Arial" w:hAnsi="Arial" w:cs="Arial"/>
                <w:sz w:val="20"/>
                <w:szCs w:val="20"/>
              </w:rPr>
              <w:t xml:space="preserve">oard, including the </w:t>
            </w:r>
            <w:r w:rsidRPr="00125521">
              <w:rPr>
                <w:rFonts w:ascii="Arial" w:hAnsi="Arial" w:cs="Arial"/>
                <w:sz w:val="20"/>
                <w:szCs w:val="20"/>
              </w:rPr>
              <w:t>Series A director</w:t>
            </w:r>
            <w:r w:rsidR="00EC0098" w:rsidRPr="00125521">
              <w:rPr>
                <w:rFonts w:ascii="Arial" w:hAnsi="Arial" w:cs="Arial"/>
                <w:sz w:val="20"/>
                <w:szCs w:val="20"/>
              </w:rPr>
              <w:t>(s)</w:t>
            </w:r>
            <w:r w:rsidR="0008021F" w:rsidRPr="00125521">
              <w:rPr>
                <w:rFonts w:ascii="Arial" w:hAnsi="Arial" w:cs="Arial"/>
                <w:sz w:val="20"/>
                <w:szCs w:val="20"/>
              </w:rPr>
              <w:t>,</w:t>
            </w:r>
            <w:r w:rsidRPr="00125521">
              <w:rPr>
                <w:rFonts w:ascii="Arial" w:hAnsi="Arial" w:cs="Arial"/>
                <w:sz w:val="20"/>
                <w:szCs w:val="20"/>
              </w:rPr>
              <w:t xml:space="preserve"> must approve:</w:t>
            </w:r>
          </w:p>
          <w:p w:rsidR="0061001C" w:rsidRPr="00125521" w:rsidRDefault="0061001C" w:rsidP="004B50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any increase to the authorized Series A</w:t>
            </w:r>
          </w:p>
          <w:p w:rsidR="00B7128B" w:rsidRPr="00125521" w:rsidRDefault="00B7128B" w:rsidP="004B50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any amendment of the company’s charter</w:t>
            </w:r>
            <w:r w:rsidR="001E2D50" w:rsidRPr="00125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D54" w:rsidRPr="00125521">
              <w:rPr>
                <w:rFonts w:ascii="Arial" w:hAnsi="Arial" w:cs="Arial"/>
                <w:sz w:val="20"/>
                <w:szCs w:val="20"/>
              </w:rPr>
              <w:t xml:space="preserve">or bylaws </w:t>
            </w:r>
            <w:r w:rsidR="001E2D50" w:rsidRPr="00125521">
              <w:rPr>
                <w:rFonts w:ascii="Arial" w:hAnsi="Arial" w:cs="Arial"/>
                <w:sz w:val="20"/>
                <w:szCs w:val="20"/>
              </w:rPr>
              <w:t>or other action</w:t>
            </w:r>
            <w:r w:rsidRPr="00125521">
              <w:rPr>
                <w:rFonts w:ascii="Arial" w:hAnsi="Arial" w:cs="Arial"/>
                <w:sz w:val="20"/>
                <w:szCs w:val="20"/>
              </w:rPr>
              <w:t xml:space="preserve"> which would adversely impact the </w:t>
            </w:r>
            <w:r w:rsidR="001E2D50" w:rsidRPr="00125521">
              <w:rPr>
                <w:rFonts w:ascii="Arial" w:hAnsi="Arial" w:cs="Arial"/>
                <w:sz w:val="20"/>
                <w:szCs w:val="20"/>
              </w:rPr>
              <w:t xml:space="preserve">rights, preferences or privileges of the </w:t>
            </w:r>
            <w:r w:rsidRPr="00125521">
              <w:rPr>
                <w:rFonts w:ascii="Arial" w:hAnsi="Arial" w:cs="Arial"/>
                <w:sz w:val="20"/>
                <w:szCs w:val="20"/>
              </w:rPr>
              <w:t>Series A</w:t>
            </w:r>
          </w:p>
          <w:p w:rsidR="00B7128B" w:rsidRPr="00125521" w:rsidRDefault="00B7128B" w:rsidP="004B50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the creation of any class of securities senior to the Series A</w:t>
            </w:r>
          </w:p>
          <w:p w:rsidR="00003D54" w:rsidRPr="00125521" w:rsidRDefault="00003D54" w:rsidP="004B50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any increase in the size of the board</w:t>
            </w:r>
          </w:p>
          <w:p w:rsidR="00B7128B" w:rsidRPr="00125521" w:rsidRDefault="00B7128B" w:rsidP="004B50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any increase to management compensation</w:t>
            </w:r>
            <w:r w:rsidR="00815AC5" w:rsidRPr="00125521">
              <w:rPr>
                <w:rFonts w:ascii="Arial" w:hAnsi="Arial" w:cs="Arial"/>
                <w:sz w:val="20"/>
                <w:szCs w:val="20"/>
              </w:rPr>
              <w:t xml:space="preserve"> or equity</w:t>
            </w:r>
            <w:r w:rsidRPr="00125521">
              <w:rPr>
                <w:rFonts w:ascii="Arial" w:hAnsi="Arial" w:cs="Arial"/>
                <w:sz w:val="20"/>
                <w:szCs w:val="20"/>
              </w:rPr>
              <w:t>, and any transaction with management or their affiliates</w:t>
            </w:r>
          </w:p>
          <w:p w:rsidR="00B7128B" w:rsidRPr="00125521" w:rsidRDefault="00B7128B" w:rsidP="004B50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sale of the company or its assets</w:t>
            </w:r>
          </w:p>
          <w:p w:rsidR="00E7171E" w:rsidRDefault="00B7128B" w:rsidP="004B50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secured deb</w:t>
            </w:r>
            <w:r w:rsidR="00063B7B" w:rsidRPr="00125521">
              <w:rPr>
                <w:rFonts w:ascii="Arial" w:hAnsi="Arial" w:cs="Arial"/>
                <w:sz w:val="20"/>
                <w:szCs w:val="20"/>
              </w:rPr>
              <w:t>t or other p</w:t>
            </w:r>
            <w:r w:rsidR="0061001C" w:rsidRPr="00125521">
              <w:rPr>
                <w:rFonts w:ascii="Arial" w:hAnsi="Arial" w:cs="Arial"/>
                <w:sz w:val="20"/>
                <w:szCs w:val="20"/>
              </w:rPr>
              <w:t>ledge of c</w:t>
            </w:r>
            <w:r w:rsidR="00063B7B" w:rsidRPr="00125521">
              <w:rPr>
                <w:rFonts w:ascii="Arial" w:hAnsi="Arial" w:cs="Arial"/>
                <w:sz w:val="20"/>
                <w:szCs w:val="20"/>
              </w:rPr>
              <w:t>ompany as</w:t>
            </w:r>
            <w:r w:rsidRPr="00125521">
              <w:rPr>
                <w:rFonts w:ascii="Arial" w:hAnsi="Arial" w:cs="Arial"/>
                <w:sz w:val="20"/>
                <w:szCs w:val="20"/>
              </w:rPr>
              <w:t>sets</w:t>
            </w:r>
          </w:p>
          <w:p w:rsidR="00B7128B" w:rsidRPr="00125521" w:rsidRDefault="00B7128B" w:rsidP="00E7171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223D" w:rsidRPr="00125521" w:rsidTr="0008535B">
        <w:tc>
          <w:tcPr>
            <w:tcW w:w="2160" w:type="dxa"/>
          </w:tcPr>
          <w:p w:rsidR="0061001C" w:rsidRPr="00125521" w:rsidRDefault="00245259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Information Rights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D2223D" w:rsidRDefault="00245259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Monthly and annual financials within 30 days of months’ end.  Quarterly narrative of company progress against business plan.</w:t>
            </w:r>
          </w:p>
          <w:p w:rsidR="00EF2E9E" w:rsidRPr="00125521" w:rsidRDefault="00EF2E9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34" w:rsidRPr="00125521" w:rsidTr="0008535B">
        <w:tc>
          <w:tcPr>
            <w:tcW w:w="2160" w:type="dxa"/>
          </w:tcPr>
          <w:p w:rsidR="00E02034" w:rsidRPr="00125521" w:rsidRDefault="00E02034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Drag-Along:</w:t>
            </w:r>
          </w:p>
        </w:tc>
        <w:tc>
          <w:tcPr>
            <w:tcW w:w="7830" w:type="dxa"/>
          </w:tcPr>
          <w:p w:rsidR="00E02034" w:rsidRDefault="00E02034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If a sale of the company or its assets is approved by the board, a majority of the common, and a majority of the Series A, then all stockholders will sell their shares and vote for the transaction.</w:t>
            </w:r>
          </w:p>
          <w:p w:rsidR="00EF2E9E" w:rsidRPr="00125521" w:rsidRDefault="00EF2E9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259" w:rsidRPr="00125521" w:rsidTr="0008535B">
        <w:tc>
          <w:tcPr>
            <w:tcW w:w="2160" w:type="dxa"/>
          </w:tcPr>
          <w:p w:rsidR="00CD3DD9" w:rsidRPr="00125521" w:rsidRDefault="00042619" w:rsidP="004B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Indemnity</w:t>
            </w:r>
            <w:r w:rsidR="00120F8F" w:rsidRPr="00125521">
              <w:rPr>
                <w:rFonts w:ascii="Arial" w:hAnsi="Arial" w:cs="Arial"/>
                <w:b/>
                <w:sz w:val="20"/>
                <w:szCs w:val="20"/>
              </w:rPr>
              <w:t>, Insurance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245259" w:rsidRDefault="00CD3DD9" w:rsidP="0012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The company shall indemnify all board members.  At the request of the Series A director(s), t</w:t>
            </w:r>
            <w:r w:rsidR="00042619" w:rsidRPr="00125521">
              <w:rPr>
                <w:rFonts w:ascii="Arial" w:hAnsi="Arial" w:cs="Arial"/>
                <w:sz w:val="20"/>
                <w:szCs w:val="20"/>
              </w:rPr>
              <w:t xml:space="preserve">he company shall carry D&amp;O </w:t>
            </w:r>
            <w:proofErr w:type="gramStart"/>
            <w:r w:rsidR="00042619" w:rsidRPr="00125521">
              <w:rPr>
                <w:rFonts w:ascii="Arial" w:hAnsi="Arial" w:cs="Arial"/>
                <w:sz w:val="20"/>
                <w:szCs w:val="20"/>
              </w:rPr>
              <w:t>insurance</w:t>
            </w:r>
            <w:r w:rsidRPr="00125521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25521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20F8F" w:rsidRPr="00125521">
              <w:rPr>
                <w:rFonts w:ascii="Arial" w:hAnsi="Arial" w:cs="Arial"/>
                <w:sz w:val="20"/>
                <w:szCs w:val="20"/>
              </w:rPr>
              <w:t>nd</w:t>
            </w:r>
            <w:r w:rsidR="00EC0098" w:rsidRPr="00125521">
              <w:rPr>
                <w:rFonts w:ascii="Arial" w:hAnsi="Arial" w:cs="Arial"/>
                <w:sz w:val="20"/>
                <w:szCs w:val="20"/>
              </w:rPr>
              <w:t xml:space="preserve"> key </w:t>
            </w:r>
            <w:r w:rsidR="00120F8F" w:rsidRPr="00125521">
              <w:rPr>
                <w:rFonts w:ascii="Arial" w:hAnsi="Arial" w:cs="Arial"/>
                <w:sz w:val="20"/>
                <w:szCs w:val="20"/>
              </w:rPr>
              <w:t>person</w:t>
            </w:r>
            <w:r w:rsidR="00EC0098" w:rsidRPr="00125521">
              <w:rPr>
                <w:rFonts w:ascii="Arial" w:hAnsi="Arial" w:cs="Arial"/>
                <w:sz w:val="20"/>
                <w:szCs w:val="20"/>
              </w:rPr>
              <w:t xml:space="preserve"> insurance on ____________.</w:t>
            </w:r>
          </w:p>
          <w:p w:rsidR="00EF2E9E" w:rsidRPr="00125521" w:rsidRDefault="00EF2E9E" w:rsidP="00120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D" w:rsidRPr="00125521" w:rsidTr="0008535B">
        <w:tc>
          <w:tcPr>
            <w:tcW w:w="2160" w:type="dxa"/>
          </w:tcPr>
          <w:p w:rsidR="00EC0098" w:rsidRPr="00125521" w:rsidRDefault="00245259" w:rsidP="004B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Registration Rights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D2223D" w:rsidRPr="00125521" w:rsidRDefault="00F57FFB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[</w:t>
            </w:r>
            <w:r w:rsidR="00245259" w:rsidRPr="00125521">
              <w:rPr>
                <w:rFonts w:ascii="Arial" w:hAnsi="Arial" w:cs="Arial"/>
                <w:sz w:val="20"/>
                <w:szCs w:val="20"/>
              </w:rPr>
              <w:t>Investors will be granted any registration rights given to future investors.</w:t>
            </w:r>
            <w:r w:rsidRPr="0012552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45DCE" w:rsidRPr="00125521" w:rsidRDefault="00045DCE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DCE" w:rsidRDefault="00045DCE" w:rsidP="003C66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[Beginning 6 months post-IPO, investors will be given 2 demand registrations</w:t>
            </w:r>
            <w:r w:rsidR="003C66AA" w:rsidRPr="00125521">
              <w:rPr>
                <w:rFonts w:ascii="Arial" w:hAnsi="Arial" w:cs="Arial"/>
                <w:sz w:val="20"/>
                <w:szCs w:val="20"/>
              </w:rPr>
              <w:t xml:space="preserve"> at $5 million minimum, </w:t>
            </w:r>
            <w:r w:rsidRPr="00125521">
              <w:rPr>
                <w:rFonts w:ascii="Arial" w:hAnsi="Arial" w:cs="Arial"/>
                <w:sz w:val="20"/>
                <w:szCs w:val="20"/>
              </w:rPr>
              <w:t>3 S-3 registrations</w:t>
            </w:r>
            <w:r w:rsidR="003C66AA" w:rsidRPr="00125521">
              <w:rPr>
                <w:rFonts w:ascii="Arial" w:hAnsi="Arial" w:cs="Arial"/>
                <w:sz w:val="20"/>
                <w:szCs w:val="20"/>
              </w:rPr>
              <w:t xml:space="preserve"> at $1 million minimum, and unlimited piggyback rights.  1% investors will be locked up for 180 days post-IPO provided that management, directors and other 1% holders are similarly bound.</w:t>
            </w:r>
            <w:r w:rsidRPr="0012552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EF2E9E" w:rsidRPr="00125521" w:rsidRDefault="00EF2E9E" w:rsidP="003C66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D" w:rsidRPr="00125521" w:rsidTr="0008535B">
        <w:tc>
          <w:tcPr>
            <w:tcW w:w="2160" w:type="dxa"/>
          </w:tcPr>
          <w:p w:rsidR="00125521" w:rsidRDefault="00125521" w:rsidP="004B50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Right of First Refusal and</w:t>
            </w:r>
          </w:p>
          <w:p w:rsidR="00EC0098" w:rsidRPr="00125521" w:rsidRDefault="00063B7B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Co-Sale Rights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D2223D" w:rsidRPr="00125521" w:rsidRDefault="00F57FFB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[</w:t>
            </w:r>
            <w:r w:rsidR="0061001C" w:rsidRPr="00125521">
              <w:rPr>
                <w:rFonts w:ascii="Arial" w:hAnsi="Arial" w:cs="Arial"/>
                <w:sz w:val="20"/>
                <w:szCs w:val="20"/>
              </w:rPr>
              <w:t>The c</w:t>
            </w:r>
            <w:r w:rsidR="00063B7B" w:rsidRPr="00125521">
              <w:rPr>
                <w:rFonts w:ascii="Arial" w:hAnsi="Arial" w:cs="Arial"/>
                <w:sz w:val="20"/>
                <w:szCs w:val="20"/>
              </w:rPr>
              <w:t>ompany will have a right of first refusal in its bylaws.  Investors will be granted any rights of first refusal and co-sale given to future investors.</w:t>
            </w:r>
            <w:r w:rsidRPr="0012552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F57FFB" w:rsidRPr="00125521" w:rsidRDefault="00F57FFB" w:rsidP="004B5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FFB" w:rsidRDefault="00045DCE" w:rsidP="00F57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[</w:t>
            </w:r>
            <w:r w:rsidR="00F57FFB" w:rsidRPr="00125521">
              <w:rPr>
                <w:rFonts w:ascii="Arial" w:hAnsi="Arial" w:cs="Arial"/>
                <w:sz w:val="20"/>
                <w:szCs w:val="20"/>
              </w:rPr>
              <w:t>If any of _________________________, sells his or her shares, investors will have a right of first refusal to purchase the shares pro-rata, and also a co-sale right to sell pro-rata</w:t>
            </w:r>
            <w:r w:rsidRPr="00125521">
              <w:rPr>
                <w:rFonts w:ascii="Arial" w:hAnsi="Arial" w:cs="Arial"/>
                <w:sz w:val="20"/>
                <w:szCs w:val="20"/>
              </w:rPr>
              <w:t>.]</w:t>
            </w:r>
          </w:p>
          <w:p w:rsidR="00EF2E9E" w:rsidRPr="00125521" w:rsidRDefault="00EF2E9E" w:rsidP="00F57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D" w:rsidRPr="00125521" w:rsidTr="0008535B">
        <w:tc>
          <w:tcPr>
            <w:tcW w:w="2160" w:type="dxa"/>
          </w:tcPr>
          <w:p w:rsidR="0061001C" w:rsidRPr="00125521" w:rsidRDefault="003C66AA" w:rsidP="00EF2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90777F" w:rsidRPr="00125521">
              <w:rPr>
                <w:rFonts w:ascii="Arial" w:hAnsi="Arial" w:cs="Arial"/>
                <w:b/>
                <w:sz w:val="20"/>
                <w:szCs w:val="20"/>
              </w:rPr>
              <w:t>Redemption</w:t>
            </w:r>
            <w:r w:rsidR="0061001C"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25521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7830" w:type="dxa"/>
          </w:tcPr>
          <w:p w:rsidR="00EF2E9E" w:rsidRDefault="003C66AA" w:rsidP="00EF2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521">
              <w:rPr>
                <w:rFonts w:ascii="Arial" w:hAnsi="Arial" w:cs="Arial"/>
                <w:sz w:val="20"/>
                <w:szCs w:val="20"/>
              </w:rPr>
              <w:t>[</w:t>
            </w:r>
            <w:r w:rsidR="0061001C" w:rsidRPr="00125521">
              <w:rPr>
                <w:rFonts w:ascii="Arial" w:hAnsi="Arial" w:cs="Arial"/>
                <w:sz w:val="20"/>
                <w:szCs w:val="20"/>
              </w:rPr>
              <w:t>After 6 years, the c</w:t>
            </w:r>
            <w:r w:rsidR="0090777F" w:rsidRPr="00125521">
              <w:rPr>
                <w:rFonts w:ascii="Arial" w:hAnsi="Arial" w:cs="Arial"/>
                <w:sz w:val="20"/>
                <w:szCs w:val="20"/>
              </w:rPr>
              <w:t xml:space="preserve">ompany will offer to redeem the shares of the investors at the greater of </w:t>
            </w:r>
            <w:r w:rsidR="00E02034" w:rsidRPr="001255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0777F" w:rsidRPr="00125521">
              <w:rPr>
                <w:rFonts w:ascii="Arial" w:hAnsi="Arial" w:cs="Arial"/>
                <w:sz w:val="20"/>
                <w:szCs w:val="20"/>
              </w:rPr>
              <w:t>Liquidation Preference or fair market value.</w:t>
            </w:r>
            <w:r w:rsidRPr="0012552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EF2E9E" w:rsidRPr="00125521" w:rsidRDefault="00EF2E9E" w:rsidP="00EF2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34" w:rsidRPr="00125521" w:rsidTr="0008535B">
        <w:tc>
          <w:tcPr>
            <w:tcW w:w="2160" w:type="dxa"/>
          </w:tcPr>
          <w:p w:rsidR="00E02034" w:rsidRPr="00125521" w:rsidRDefault="00E02034" w:rsidP="007D7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521">
              <w:rPr>
                <w:rFonts w:ascii="Arial" w:hAnsi="Arial" w:cs="Arial"/>
                <w:b/>
                <w:sz w:val="20"/>
                <w:szCs w:val="20"/>
              </w:rPr>
              <w:t>Documents</w:t>
            </w:r>
            <w:r w:rsidR="002A5BF2" w:rsidRPr="00125521">
              <w:rPr>
                <w:rFonts w:ascii="Arial" w:hAnsi="Arial" w:cs="Arial"/>
                <w:b/>
                <w:sz w:val="20"/>
                <w:szCs w:val="20"/>
              </w:rPr>
              <w:t xml:space="preserve"> and Counsel Fees</w:t>
            </w:r>
            <w:r w:rsidRPr="001255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:rsidR="00E02034" w:rsidRPr="00125521" w:rsidRDefault="00415F99" w:rsidP="00EF2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F57FFB" w:rsidRPr="00125521">
              <w:rPr>
                <w:rFonts w:ascii="Arial" w:hAnsi="Arial" w:cs="Arial"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sz w:val="20"/>
                <w:szCs w:val="20"/>
              </w:rPr>
              <w:t>] [Investor]</w:t>
            </w:r>
            <w:r w:rsidR="007D7BBE" w:rsidRPr="00125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FFB" w:rsidRPr="00125521">
              <w:rPr>
                <w:rFonts w:ascii="Arial" w:hAnsi="Arial" w:cs="Arial"/>
                <w:sz w:val="20"/>
                <w:szCs w:val="20"/>
              </w:rPr>
              <w:t xml:space="preserve">counsel will prepare </w:t>
            </w:r>
            <w:r w:rsidR="001255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57FFB" w:rsidRPr="00125521">
              <w:rPr>
                <w:rFonts w:ascii="Arial" w:hAnsi="Arial" w:cs="Arial"/>
                <w:sz w:val="20"/>
                <w:szCs w:val="20"/>
              </w:rPr>
              <w:t>investment documents.</w:t>
            </w:r>
            <w:r w:rsidR="002A5BF2" w:rsidRPr="001255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5BF2" w:rsidRPr="00125521">
              <w:rPr>
                <w:rFonts w:ascii="Arial" w:hAnsi="Arial" w:cs="Arial"/>
                <w:sz w:val="20"/>
                <w:szCs w:val="20"/>
              </w:rPr>
              <w:t xml:space="preserve">Provided the financing closes, the company will pay investor counsel </w:t>
            </w:r>
            <w:r w:rsidR="002A5BF2" w:rsidRPr="00125521">
              <w:rPr>
                <w:rFonts w:ascii="Arial" w:hAnsi="Arial" w:cs="Arial"/>
                <w:sz w:val="20"/>
                <w:szCs w:val="20"/>
              </w:rPr>
              <w:t xml:space="preserve">fees not to exceed </w:t>
            </w:r>
            <w:r w:rsidR="00125521">
              <w:rPr>
                <w:rFonts w:ascii="Arial" w:hAnsi="Arial" w:cs="Arial"/>
                <w:sz w:val="20"/>
                <w:szCs w:val="20"/>
              </w:rPr>
              <w:t>$_______</w:t>
            </w:r>
            <w:r w:rsidR="002A5BF2" w:rsidRPr="001255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1001C" w:rsidRPr="00125521" w:rsidRDefault="00BB2C60" w:rsidP="00BB2C60">
      <w:pPr>
        <w:jc w:val="center"/>
        <w:rPr>
          <w:rFonts w:ascii="Arial" w:hAnsi="Arial" w:cs="Arial"/>
          <w:b/>
          <w:sz w:val="24"/>
          <w:szCs w:val="24"/>
        </w:rPr>
      </w:pPr>
      <w:r w:rsidRPr="00125521">
        <w:rPr>
          <w:rFonts w:ascii="Arial" w:hAnsi="Arial" w:cs="Arial"/>
          <w:b/>
          <w:sz w:val="24"/>
          <w:szCs w:val="24"/>
        </w:rPr>
        <w:br w:type="page"/>
      </w:r>
      <w:r w:rsidR="0061001C" w:rsidRPr="00125521">
        <w:rPr>
          <w:rFonts w:ascii="Arial" w:hAnsi="Arial" w:cs="Arial"/>
          <w:b/>
          <w:sz w:val="24"/>
          <w:szCs w:val="24"/>
        </w:rPr>
        <w:lastRenderedPageBreak/>
        <w:t>EXHIBIT A</w:t>
      </w:r>
    </w:p>
    <w:p w:rsidR="00003D54" w:rsidRPr="00125521" w:rsidRDefault="0061001C" w:rsidP="006100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5521">
        <w:rPr>
          <w:rFonts w:ascii="Arial" w:hAnsi="Arial" w:cs="Arial"/>
          <w:b/>
          <w:sz w:val="24"/>
          <w:szCs w:val="24"/>
        </w:rPr>
        <w:t>Capitalization Table</w:t>
      </w:r>
    </w:p>
    <w:p w:rsidR="0061001C" w:rsidRPr="00125521" w:rsidRDefault="0061001C" w:rsidP="006100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5521">
        <w:rPr>
          <w:rFonts w:ascii="Arial" w:hAnsi="Arial" w:cs="Arial"/>
          <w:b/>
          <w:sz w:val="24"/>
          <w:szCs w:val="24"/>
        </w:rPr>
        <w:t>Pre-</w:t>
      </w:r>
      <w:r w:rsidR="003D4D53" w:rsidRPr="00125521">
        <w:rPr>
          <w:rFonts w:ascii="Arial" w:hAnsi="Arial" w:cs="Arial"/>
          <w:b/>
          <w:sz w:val="24"/>
          <w:szCs w:val="24"/>
        </w:rPr>
        <w:t>Financing</w:t>
      </w:r>
      <w:r w:rsidRPr="00125521">
        <w:rPr>
          <w:rFonts w:ascii="Arial" w:hAnsi="Arial" w:cs="Arial"/>
          <w:b/>
          <w:sz w:val="24"/>
          <w:szCs w:val="24"/>
        </w:rPr>
        <w:t xml:space="preserve"> and Post-</w:t>
      </w:r>
      <w:r w:rsidR="003D4D53" w:rsidRPr="00125521">
        <w:rPr>
          <w:rFonts w:ascii="Arial" w:hAnsi="Arial" w:cs="Arial"/>
          <w:b/>
          <w:sz w:val="24"/>
          <w:szCs w:val="24"/>
        </w:rPr>
        <w:t>Financing</w:t>
      </w:r>
    </w:p>
    <w:p w:rsidR="00D2223D" w:rsidRPr="00125521" w:rsidRDefault="00D2223D" w:rsidP="00D2223D">
      <w:pPr>
        <w:rPr>
          <w:rFonts w:ascii="Arial" w:hAnsi="Arial" w:cs="Arial"/>
        </w:rPr>
      </w:pPr>
    </w:p>
    <w:sectPr w:rsidR="00D2223D" w:rsidRPr="00125521" w:rsidSect="006B58B3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39D2"/>
    <w:multiLevelType w:val="hybridMultilevel"/>
    <w:tmpl w:val="F2B2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4D49"/>
    <w:multiLevelType w:val="hybridMultilevel"/>
    <w:tmpl w:val="4E00BF8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C3"/>
    <w:rsid w:val="000013EE"/>
    <w:rsid w:val="000019B6"/>
    <w:rsid w:val="00003D54"/>
    <w:rsid w:val="00006306"/>
    <w:rsid w:val="00006510"/>
    <w:rsid w:val="000115EF"/>
    <w:rsid w:val="00012566"/>
    <w:rsid w:val="000135B6"/>
    <w:rsid w:val="00023ADC"/>
    <w:rsid w:val="00030A7A"/>
    <w:rsid w:val="000317E6"/>
    <w:rsid w:val="00032E34"/>
    <w:rsid w:val="0003310A"/>
    <w:rsid w:val="000370DF"/>
    <w:rsid w:val="00042619"/>
    <w:rsid w:val="0004419C"/>
    <w:rsid w:val="00045DCE"/>
    <w:rsid w:val="00050D21"/>
    <w:rsid w:val="00051DF8"/>
    <w:rsid w:val="00054F4E"/>
    <w:rsid w:val="00055576"/>
    <w:rsid w:val="0005688B"/>
    <w:rsid w:val="00063B7B"/>
    <w:rsid w:val="00065BC1"/>
    <w:rsid w:val="00065E1A"/>
    <w:rsid w:val="00077FA3"/>
    <w:rsid w:val="0008021F"/>
    <w:rsid w:val="000839A8"/>
    <w:rsid w:val="0008535B"/>
    <w:rsid w:val="00085745"/>
    <w:rsid w:val="00092FE1"/>
    <w:rsid w:val="00094FF5"/>
    <w:rsid w:val="00096A4A"/>
    <w:rsid w:val="000A07AE"/>
    <w:rsid w:val="000A1FB1"/>
    <w:rsid w:val="000A22CA"/>
    <w:rsid w:val="000A2501"/>
    <w:rsid w:val="000A528A"/>
    <w:rsid w:val="000A626D"/>
    <w:rsid w:val="000B46CB"/>
    <w:rsid w:val="000B633D"/>
    <w:rsid w:val="000B64CA"/>
    <w:rsid w:val="000C1C8E"/>
    <w:rsid w:val="000C5ACF"/>
    <w:rsid w:val="000C5C56"/>
    <w:rsid w:val="000D0306"/>
    <w:rsid w:val="000D0354"/>
    <w:rsid w:val="000D3900"/>
    <w:rsid w:val="000D63E0"/>
    <w:rsid w:val="000D6712"/>
    <w:rsid w:val="000E0291"/>
    <w:rsid w:val="000E19C2"/>
    <w:rsid w:val="000E2DC9"/>
    <w:rsid w:val="000E5098"/>
    <w:rsid w:val="000E6A43"/>
    <w:rsid w:val="000E7C49"/>
    <w:rsid w:val="000F0B9E"/>
    <w:rsid w:val="000F5E69"/>
    <w:rsid w:val="001021E4"/>
    <w:rsid w:val="00102C2A"/>
    <w:rsid w:val="00103590"/>
    <w:rsid w:val="00104E68"/>
    <w:rsid w:val="00106896"/>
    <w:rsid w:val="00111C45"/>
    <w:rsid w:val="00112024"/>
    <w:rsid w:val="00117798"/>
    <w:rsid w:val="00120F8F"/>
    <w:rsid w:val="00125521"/>
    <w:rsid w:val="00137363"/>
    <w:rsid w:val="0016115D"/>
    <w:rsid w:val="00162F91"/>
    <w:rsid w:val="001677B1"/>
    <w:rsid w:val="00171C15"/>
    <w:rsid w:val="00172329"/>
    <w:rsid w:val="00175779"/>
    <w:rsid w:val="00175E58"/>
    <w:rsid w:val="001771ED"/>
    <w:rsid w:val="001830F1"/>
    <w:rsid w:val="00190865"/>
    <w:rsid w:val="00193164"/>
    <w:rsid w:val="001A042E"/>
    <w:rsid w:val="001B0A9F"/>
    <w:rsid w:val="001B2B1C"/>
    <w:rsid w:val="001B3AD3"/>
    <w:rsid w:val="001B3DAC"/>
    <w:rsid w:val="001C0015"/>
    <w:rsid w:val="001C6459"/>
    <w:rsid w:val="001D351D"/>
    <w:rsid w:val="001D6BC5"/>
    <w:rsid w:val="001E0F14"/>
    <w:rsid w:val="001E2D50"/>
    <w:rsid w:val="001E4CE9"/>
    <w:rsid w:val="001E5860"/>
    <w:rsid w:val="001E742C"/>
    <w:rsid w:val="001F3029"/>
    <w:rsid w:val="001F3EDD"/>
    <w:rsid w:val="0020078B"/>
    <w:rsid w:val="0020529B"/>
    <w:rsid w:val="00205391"/>
    <w:rsid w:val="00205ECD"/>
    <w:rsid w:val="002066B7"/>
    <w:rsid w:val="0020792E"/>
    <w:rsid w:val="0021275E"/>
    <w:rsid w:val="00216500"/>
    <w:rsid w:val="00216AE5"/>
    <w:rsid w:val="00221512"/>
    <w:rsid w:val="00222D59"/>
    <w:rsid w:val="00231039"/>
    <w:rsid w:val="0023490E"/>
    <w:rsid w:val="002354CD"/>
    <w:rsid w:val="0023589C"/>
    <w:rsid w:val="002359B5"/>
    <w:rsid w:val="00236E93"/>
    <w:rsid w:val="0023737F"/>
    <w:rsid w:val="00237B1F"/>
    <w:rsid w:val="00245259"/>
    <w:rsid w:val="00247F79"/>
    <w:rsid w:val="002501E6"/>
    <w:rsid w:val="00250AA9"/>
    <w:rsid w:val="002527E0"/>
    <w:rsid w:val="00252D1A"/>
    <w:rsid w:val="0025301C"/>
    <w:rsid w:val="002549BF"/>
    <w:rsid w:val="0026060D"/>
    <w:rsid w:val="002616DE"/>
    <w:rsid w:val="00265ADE"/>
    <w:rsid w:val="00272244"/>
    <w:rsid w:val="00274B45"/>
    <w:rsid w:val="00280A02"/>
    <w:rsid w:val="002866D4"/>
    <w:rsid w:val="0028754A"/>
    <w:rsid w:val="002901A3"/>
    <w:rsid w:val="00291E86"/>
    <w:rsid w:val="00294780"/>
    <w:rsid w:val="00295153"/>
    <w:rsid w:val="002A07A6"/>
    <w:rsid w:val="002A0BD4"/>
    <w:rsid w:val="002A4237"/>
    <w:rsid w:val="002A5BF2"/>
    <w:rsid w:val="002A5F3B"/>
    <w:rsid w:val="002A7A42"/>
    <w:rsid w:val="002B127D"/>
    <w:rsid w:val="002B18FC"/>
    <w:rsid w:val="002C3FA8"/>
    <w:rsid w:val="002D5C09"/>
    <w:rsid w:val="002D6341"/>
    <w:rsid w:val="002E3151"/>
    <w:rsid w:val="002F5B8D"/>
    <w:rsid w:val="0030034F"/>
    <w:rsid w:val="003039B8"/>
    <w:rsid w:val="00322A4F"/>
    <w:rsid w:val="00322D5D"/>
    <w:rsid w:val="00322EA0"/>
    <w:rsid w:val="0032358C"/>
    <w:rsid w:val="00323F07"/>
    <w:rsid w:val="00324346"/>
    <w:rsid w:val="00324C5F"/>
    <w:rsid w:val="00325727"/>
    <w:rsid w:val="00325A4A"/>
    <w:rsid w:val="0032666A"/>
    <w:rsid w:val="0032755E"/>
    <w:rsid w:val="00332112"/>
    <w:rsid w:val="00333008"/>
    <w:rsid w:val="00336227"/>
    <w:rsid w:val="00336D45"/>
    <w:rsid w:val="003379F5"/>
    <w:rsid w:val="00350FED"/>
    <w:rsid w:val="0035442B"/>
    <w:rsid w:val="00360E88"/>
    <w:rsid w:val="00361F8A"/>
    <w:rsid w:val="0037203F"/>
    <w:rsid w:val="00372B84"/>
    <w:rsid w:val="00376A68"/>
    <w:rsid w:val="00384BD6"/>
    <w:rsid w:val="0038649B"/>
    <w:rsid w:val="00390407"/>
    <w:rsid w:val="00390A45"/>
    <w:rsid w:val="00397935"/>
    <w:rsid w:val="003A0A13"/>
    <w:rsid w:val="003A58E8"/>
    <w:rsid w:val="003A64C1"/>
    <w:rsid w:val="003A7D45"/>
    <w:rsid w:val="003B2037"/>
    <w:rsid w:val="003B3A1F"/>
    <w:rsid w:val="003B5BCA"/>
    <w:rsid w:val="003C66AA"/>
    <w:rsid w:val="003D11AF"/>
    <w:rsid w:val="003D213C"/>
    <w:rsid w:val="003D2173"/>
    <w:rsid w:val="003D380A"/>
    <w:rsid w:val="003D3D1F"/>
    <w:rsid w:val="003D48DB"/>
    <w:rsid w:val="003D4D53"/>
    <w:rsid w:val="003D5E3B"/>
    <w:rsid w:val="003D6A70"/>
    <w:rsid w:val="003D703F"/>
    <w:rsid w:val="003E2DC8"/>
    <w:rsid w:val="003E31AF"/>
    <w:rsid w:val="003E38E5"/>
    <w:rsid w:val="003E70B1"/>
    <w:rsid w:val="003E71D9"/>
    <w:rsid w:val="003F01AB"/>
    <w:rsid w:val="003F17F2"/>
    <w:rsid w:val="003F2CAE"/>
    <w:rsid w:val="004027CC"/>
    <w:rsid w:val="0040344D"/>
    <w:rsid w:val="0041007B"/>
    <w:rsid w:val="00415F99"/>
    <w:rsid w:val="00425D2F"/>
    <w:rsid w:val="00430E68"/>
    <w:rsid w:val="00430EF8"/>
    <w:rsid w:val="00435AD9"/>
    <w:rsid w:val="00437AF7"/>
    <w:rsid w:val="00442368"/>
    <w:rsid w:val="00442B4F"/>
    <w:rsid w:val="00442D24"/>
    <w:rsid w:val="00450AD3"/>
    <w:rsid w:val="0045203D"/>
    <w:rsid w:val="00453C44"/>
    <w:rsid w:val="004555E4"/>
    <w:rsid w:val="00460044"/>
    <w:rsid w:val="0046058C"/>
    <w:rsid w:val="00463060"/>
    <w:rsid w:val="004644E6"/>
    <w:rsid w:val="0046567E"/>
    <w:rsid w:val="00466BE3"/>
    <w:rsid w:val="00466D6B"/>
    <w:rsid w:val="00470F2D"/>
    <w:rsid w:val="00472EA7"/>
    <w:rsid w:val="00481962"/>
    <w:rsid w:val="00483C8E"/>
    <w:rsid w:val="00483E29"/>
    <w:rsid w:val="0048728F"/>
    <w:rsid w:val="00487E32"/>
    <w:rsid w:val="004904BF"/>
    <w:rsid w:val="00492822"/>
    <w:rsid w:val="004928C0"/>
    <w:rsid w:val="004928E9"/>
    <w:rsid w:val="004A0335"/>
    <w:rsid w:val="004A046F"/>
    <w:rsid w:val="004A2004"/>
    <w:rsid w:val="004A3BC2"/>
    <w:rsid w:val="004A3EB8"/>
    <w:rsid w:val="004A5CC3"/>
    <w:rsid w:val="004B27D3"/>
    <w:rsid w:val="004B2C6C"/>
    <w:rsid w:val="004B4406"/>
    <w:rsid w:val="004B50B6"/>
    <w:rsid w:val="004B58C0"/>
    <w:rsid w:val="004B791F"/>
    <w:rsid w:val="004C03C6"/>
    <w:rsid w:val="004C1A4E"/>
    <w:rsid w:val="004C1B4F"/>
    <w:rsid w:val="004C2636"/>
    <w:rsid w:val="004C6B4F"/>
    <w:rsid w:val="004D5FEF"/>
    <w:rsid w:val="004D7CCC"/>
    <w:rsid w:val="004E6EAA"/>
    <w:rsid w:val="004E73BF"/>
    <w:rsid w:val="0050039A"/>
    <w:rsid w:val="00504920"/>
    <w:rsid w:val="005056D0"/>
    <w:rsid w:val="005060D6"/>
    <w:rsid w:val="005111EB"/>
    <w:rsid w:val="00515446"/>
    <w:rsid w:val="00521992"/>
    <w:rsid w:val="00524E04"/>
    <w:rsid w:val="005269C5"/>
    <w:rsid w:val="00533C41"/>
    <w:rsid w:val="00536DA2"/>
    <w:rsid w:val="00540E71"/>
    <w:rsid w:val="00543F3A"/>
    <w:rsid w:val="00553AAD"/>
    <w:rsid w:val="00553CB4"/>
    <w:rsid w:val="00554F71"/>
    <w:rsid w:val="005600F3"/>
    <w:rsid w:val="00560395"/>
    <w:rsid w:val="005663AE"/>
    <w:rsid w:val="00571217"/>
    <w:rsid w:val="005762BE"/>
    <w:rsid w:val="00584607"/>
    <w:rsid w:val="00593D3B"/>
    <w:rsid w:val="005A01C1"/>
    <w:rsid w:val="005A19E5"/>
    <w:rsid w:val="005A36A0"/>
    <w:rsid w:val="005A6565"/>
    <w:rsid w:val="005B02B4"/>
    <w:rsid w:val="005B3B7A"/>
    <w:rsid w:val="005B56E6"/>
    <w:rsid w:val="005B5A73"/>
    <w:rsid w:val="005B6A9D"/>
    <w:rsid w:val="005C11D3"/>
    <w:rsid w:val="005C13BF"/>
    <w:rsid w:val="005C3342"/>
    <w:rsid w:val="005C431D"/>
    <w:rsid w:val="005C4F44"/>
    <w:rsid w:val="005C509A"/>
    <w:rsid w:val="005C59F3"/>
    <w:rsid w:val="005C7E5A"/>
    <w:rsid w:val="005D079D"/>
    <w:rsid w:val="005D164C"/>
    <w:rsid w:val="005D18B5"/>
    <w:rsid w:val="005D1B52"/>
    <w:rsid w:val="005D4318"/>
    <w:rsid w:val="005D61FC"/>
    <w:rsid w:val="005E209E"/>
    <w:rsid w:val="005E7B8B"/>
    <w:rsid w:val="005F07CA"/>
    <w:rsid w:val="005F0E30"/>
    <w:rsid w:val="005F1A7C"/>
    <w:rsid w:val="005F4421"/>
    <w:rsid w:val="005F7704"/>
    <w:rsid w:val="006009DE"/>
    <w:rsid w:val="0060268A"/>
    <w:rsid w:val="00602B4A"/>
    <w:rsid w:val="0061001C"/>
    <w:rsid w:val="006126F1"/>
    <w:rsid w:val="00612AC7"/>
    <w:rsid w:val="00614802"/>
    <w:rsid w:val="00616A20"/>
    <w:rsid w:val="00624E3F"/>
    <w:rsid w:val="00625B1D"/>
    <w:rsid w:val="006321FD"/>
    <w:rsid w:val="0064194A"/>
    <w:rsid w:val="00643A86"/>
    <w:rsid w:val="00644FEA"/>
    <w:rsid w:val="00650E02"/>
    <w:rsid w:val="00651091"/>
    <w:rsid w:val="00652B6C"/>
    <w:rsid w:val="00652CE5"/>
    <w:rsid w:val="006549EC"/>
    <w:rsid w:val="006563DD"/>
    <w:rsid w:val="006577D3"/>
    <w:rsid w:val="00660AD9"/>
    <w:rsid w:val="00664F9A"/>
    <w:rsid w:val="0067412D"/>
    <w:rsid w:val="00676B89"/>
    <w:rsid w:val="00676E4C"/>
    <w:rsid w:val="00677E82"/>
    <w:rsid w:val="0068307E"/>
    <w:rsid w:val="00683F35"/>
    <w:rsid w:val="0069135B"/>
    <w:rsid w:val="006A730E"/>
    <w:rsid w:val="006B3A57"/>
    <w:rsid w:val="006B58B3"/>
    <w:rsid w:val="006B7EFB"/>
    <w:rsid w:val="006C3D26"/>
    <w:rsid w:val="006C5325"/>
    <w:rsid w:val="006C61DD"/>
    <w:rsid w:val="006D1237"/>
    <w:rsid w:val="006D1532"/>
    <w:rsid w:val="006E3E9E"/>
    <w:rsid w:val="006E5D3E"/>
    <w:rsid w:val="006E5F81"/>
    <w:rsid w:val="006F0142"/>
    <w:rsid w:val="006F362D"/>
    <w:rsid w:val="006F61E6"/>
    <w:rsid w:val="00702CEA"/>
    <w:rsid w:val="007042C6"/>
    <w:rsid w:val="00704516"/>
    <w:rsid w:val="0071022E"/>
    <w:rsid w:val="00717942"/>
    <w:rsid w:val="007215E9"/>
    <w:rsid w:val="00722788"/>
    <w:rsid w:val="007248EB"/>
    <w:rsid w:val="00724A06"/>
    <w:rsid w:val="007310C8"/>
    <w:rsid w:val="00731C74"/>
    <w:rsid w:val="00732F92"/>
    <w:rsid w:val="00733FF8"/>
    <w:rsid w:val="00734249"/>
    <w:rsid w:val="00740EFE"/>
    <w:rsid w:val="00744F56"/>
    <w:rsid w:val="00746813"/>
    <w:rsid w:val="00746C1C"/>
    <w:rsid w:val="00750036"/>
    <w:rsid w:val="0075010D"/>
    <w:rsid w:val="007514F7"/>
    <w:rsid w:val="00761A84"/>
    <w:rsid w:val="007636FD"/>
    <w:rsid w:val="00765703"/>
    <w:rsid w:val="0077090D"/>
    <w:rsid w:val="007719DF"/>
    <w:rsid w:val="00772014"/>
    <w:rsid w:val="0077470D"/>
    <w:rsid w:val="00776E55"/>
    <w:rsid w:val="00780530"/>
    <w:rsid w:val="007918E6"/>
    <w:rsid w:val="00797ED8"/>
    <w:rsid w:val="007B0101"/>
    <w:rsid w:val="007B3C40"/>
    <w:rsid w:val="007B3FF6"/>
    <w:rsid w:val="007B575C"/>
    <w:rsid w:val="007C63BC"/>
    <w:rsid w:val="007D7BBE"/>
    <w:rsid w:val="007E5D1F"/>
    <w:rsid w:val="007E7469"/>
    <w:rsid w:val="007F2E64"/>
    <w:rsid w:val="007F4B43"/>
    <w:rsid w:val="007F5C24"/>
    <w:rsid w:val="00801AC0"/>
    <w:rsid w:val="008031C0"/>
    <w:rsid w:val="00803544"/>
    <w:rsid w:val="0080466C"/>
    <w:rsid w:val="00804A63"/>
    <w:rsid w:val="008060AE"/>
    <w:rsid w:val="008069C6"/>
    <w:rsid w:val="008126F7"/>
    <w:rsid w:val="00812825"/>
    <w:rsid w:val="0081411A"/>
    <w:rsid w:val="0081411B"/>
    <w:rsid w:val="00814EBD"/>
    <w:rsid w:val="00815AC5"/>
    <w:rsid w:val="008211C0"/>
    <w:rsid w:val="00822B8D"/>
    <w:rsid w:val="00824161"/>
    <w:rsid w:val="00827AD0"/>
    <w:rsid w:val="00845B31"/>
    <w:rsid w:val="0084767A"/>
    <w:rsid w:val="00850F7E"/>
    <w:rsid w:val="00855490"/>
    <w:rsid w:val="00862522"/>
    <w:rsid w:val="00873AF0"/>
    <w:rsid w:val="008756D5"/>
    <w:rsid w:val="00877697"/>
    <w:rsid w:val="00877C9F"/>
    <w:rsid w:val="00877D6A"/>
    <w:rsid w:val="00880DD7"/>
    <w:rsid w:val="0088706C"/>
    <w:rsid w:val="008907BD"/>
    <w:rsid w:val="008949D3"/>
    <w:rsid w:val="00896F35"/>
    <w:rsid w:val="008A2B53"/>
    <w:rsid w:val="008A649C"/>
    <w:rsid w:val="008B7901"/>
    <w:rsid w:val="008B7E6A"/>
    <w:rsid w:val="008C28AF"/>
    <w:rsid w:val="008C36E3"/>
    <w:rsid w:val="008C4B4C"/>
    <w:rsid w:val="008C7490"/>
    <w:rsid w:val="008D0684"/>
    <w:rsid w:val="008D54F6"/>
    <w:rsid w:val="008D6D67"/>
    <w:rsid w:val="008E0A30"/>
    <w:rsid w:val="008E1C0B"/>
    <w:rsid w:val="008E3CFA"/>
    <w:rsid w:val="008F0DDC"/>
    <w:rsid w:val="00900E07"/>
    <w:rsid w:val="0090340B"/>
    <w:rsid w:val="00903488"/>
    <w:rsid w:val="00903C83"/>
    <w:rsid w:val="00905BBA"/>
    <w:rsid w:val="0090777F"/>
    <w:rsid w:val="00911451"/>
    <w:rsid w:val="009178A1"/>
    <w:rsid w:val="0092427D"/>
    <w:rsid w:val="00930C9E"/>
    <w:rsid w:val="00930FFF"/>
    <w:rsid w:val="00933588"/>
    <w:rsid w:val="009358EF"/>
    <w:rsid w:val="00935B7A"/>
    <w:rsid w:val="00944760"/>
    <w:rsid w:val="009454F5"/>
    <w:rsid w:val="00952DAC"/>
    <w:rsid w:val="00956034"/>
    <w:rsid w:val="00960F41"/>
    <w:rsid w:val="00963B08"/>
    <w:rsid w:val="00966E11"/>
    <w:rsid w:val="00967AF4"/>
    <w:rsid w:val="00983046"/>
    <w:rsid w:val="00983DEA"/>
    <w:rsid w:val="00984118"/>
    <w:rsid w:val="00986916"/>
    <w:rsid w:val="00987C31"/>
    <w:rsid w:val="009908BB"/>
    <w:rsid w:val="00990DC6"/>
    <w:rsid w:val="009A650A"/>
    <w:rsid w:val="009A7E98"/>
    <w:rsid w:val="009B3B44"/>
    <w:rsid w:val="009B49A7"/>
    <w:rsid w:val="009B4AB3"/>
    <w:rsid w:val="009C33B7"/>
    <w:rsid w:val="009D04B1"/>
    <w:rsid w:val="009D399F"/>
    <w:rsid w:val="009E1159"/>
    <w:rsid w:val="009E3767"/>
    <w:rsid w:val="009E5482"/>
    <w:rsid w:val="009E5730"/>
    <w:rsid w:val="009E59EF"/>
    <w:rsid w:val="009F1642"/>
    <w:rsid w:val="009F17CC"/>
    <w:rsid w:val="009F7645"/>
    <w:rsid w:val="00A03B2B"/>
    <w:rsid w:val="00A03F11"/>
    <w:rsid w:val="00A03FDD"/>
    <w:rsid w:val="00A0628D"/>
    <w:rsid w:val="00A11CE9"/>
    <w:rsid w:val="00A1755C"/>
    <w:rsid w:val="00A20D76"/>
    <w:rsid w:val="00A219A3"/>
    <w:rsid w:val="00A2324A"/>
    <w:rsid w:val="00A25260"/>
    <w:rsid w:val="00A304E1"/>
    <w:rsid w:val="00A3138A"/>
    <w:rsid w:val="00A344FA"/>
    <w:rsid w:val="00A34AC6"/>
    <w:rsid w:val="00A3570B"/>
    <w:rsid w:val="00A37571"/>
    <w:rsid w:val="00A3784E"/>
    <w:rsid w:val="00A4125F"/>
    <w:rsid w:val="00A44551"/>
    <w:rsid w:val="00A4647F"/>
    <w:rsid w:val="00A468A2"/>
    <w:rsid w:val="00A4775A"/>
    <w:rsid w:val="00A516CF"/>
    <w:rsid w:val="00A528E6"/>
    <w:rsid w:val="00A568C8"/>
    <w:rsid w:val="00A57E79"/>
    <w:rsid w:val="00A57EF1"/>
    <w:rsid w:val="00A65628"/>
    <w:rsid w:val="00A6680D"/>
    <w:rsid w:val="00A67B7D"/>
    <w:rsid w:val="00A70A70"/>
    <w:rsid w:val="00A711A3"/>
    <w:rsid w:val="00A713FC"/>
    <w:rsid w:val="00A716F5"/>
    <w:rsid w:val="00A71AB6"/>
    <w:rsid w:val="00A7368E"/>
    <w:rsid w:val="00A74948"/>
    <w:rsid w:val="00A76E1F"/>
    <w:rsid w:val="00A80BA6"/>
    <w:rsid w:val="00A80E0B"/>
    <w:rsid w:val="00A818BE"/>
    <w:rsid w:val="00A925CF"/>
    <w:rsid w:val="00A94712"/>
    <w:rsid w:val="00AA18D4"/>
    <w:rsid w:val="00AA1CFF"/>
    <w:rsid w:val="00AB0C45"/>
    <w:rsid w:val="00AB1012"/>
    <w:rsid w:val="00AB6669"/>
    <w:rsid w:val="00AC1880"/>
    <w:rsid w:val="00AC1ADE"/>
    <w:rsid w:val="00AD3F10"/>
    <w:rsid w:val="00AD557B"/>
    <w:rsid w:val="00AE137B"/>
    <w:rsid w:val="00AE27F5"/>
    <w:rsid w:val="00AF0814"/>
    <w:rsid w:val="00B01AC3"/>
    <w:rsid w:val="00B02091"/>
    <w:rsid w:val="00B02240"/>
    <w:rsid w:val="00B036F1"/>
    <w:rsid w:val="00B04286"/>
    <w:rsid w:val="00B070DB"/>
    <w:rsid w:val="00B140B0"/>
    <w:rsid w:val="00B148C9"/>
    <w:rsid w:val="00B15E18"/>
    <w:rsid w:val="00B16A50"/>
    <w:rsid w:val="00B21BD7"/>
    <w:rsid w:val="00B300E3"/>
    <w:rsid w:val="00B30985"/>
    <w:rsid w:val="00B355F6"/>
    <w:rsid w:val="00B60CEB"/>
    <w:rsid w:val="00B633B9"/>
    <w:rsid w:val="00B64920"/>
    <w:rsid w:val="00B64E96"/>
    <w:rsid w:val="00B66330"/>
    <w:rsid w:val="00B70258"/>
    <w:rsid w:val="00B70719"/>
    <w:rsid w:val="00B7128B"/>
    <w:rsid w:val="00B821A4"/>
    <w:rsid w:val="00B83D82"/>
    <w:rsid w:val="00B86010"/>
    <w:rsid w:val="00B93EBC"/>
    <w:rsid w:val="00B9636C"/>
    <w:rsid w:val="00BA06E1"/>
    <w:rsid w:val="00BA0FB6"/>
    <w:rsid w:val="00BA1E53"/>
    <w:rsid w:val="00BA5791"/>
    <w:rsid w:val="00BB0424"/>
    <w:rsid w:val="00BB2C60"/>
    <w:rsid w:val="00BB3977"/>
    <w:rsid w:val="00BB5196"/>
    <w:rsid w:val="00BB5758"/>
    <w:rsid w:val="00BC270D"/>
    <w:rsid w:val="00BC5810"/>
    <w:rsid w:val="00BC7272"/>
    <w:rsid w:val="00BD0139"/>
    <w:rsid w:val="00BD79B9"/>
    <w:rsid w:val="00BD7C1A"/>
    <w:rsid w:val="00BE323B"/>
    <w:rsid w:val="00BE3F4E"/>
    <w:rsid w:val="00BF084B"/>
    <w:rsid w:val="00BF477D"/>
    <w:rsid w:val="00BF5660"/>
    <w:rsid w:val="00BF6D6E"/>
    <w:rsid w:val="00C0060C"/>
    <w:rsid w:val="00C01429"/>
    <w:rsid w:val="00C01CE6"/>
    <w:rsid w:val="00C05FCA"/>
    <w:rsid w:val="00C0701C"/>
    <w:rsid w:val="00C072DC"/>
    <w:rsid w:val="00C11925"/>
    <w:rsid w:val="00C12970"/>
    <w:rsid w:val="00C15D61"/>
    <w:rsid w:val="00C266C5"/>
    <w:rsid w:val="00C30B79"/>
    <w:rsid w:val="00C3490D"/>
    <w:rsid w:val="00C37194"/>
    <w:rsid w:val="00C40575"/>
    <w:rsid w:val="00C4173A"/>
    <w:rsid w:val="00C42DFA"/>
    <w:rsid w:val="00C449E7"/>
    <w:rsid w:val="00C533A7"/>
    <w:rsid w:val="00C54305"/>
    <w:rsid w:val="00C54E3F"/>
    <w:rsid w:val="00C63287"/>
    <w:rsid w:val="00C67A1F"/>
    <w:rsid w:val="00C71409"/>
    <w:rsid w:val="00C80027"/>
    <w:rsid w:val="00C8471D"/>
    <w:rsid w:val="00C84BA7"/>
    <w:rsid w:val="00C86D3F"/>
    <w:rsid w:val="00C875AB"/>
    <w:rsid w:val="00C92358"/>
    <w:rsid w:val="00C933BB"/>
    <w:rsid w:val="00CA0DD2"/>
    <w:rsid w:val="00CA21F9"/>
    <w:rsid w:val="00CB0368"/>
    <w:rsid w:val="00CB6652"/>
    <w:rsid w:val="00CC025C"/>
    <w:rsid w:val="00CC0406"/>
    <w:rsid w:val="00CC0841"/>
    <w:rsid w:val="00CC48FF"/>
    <w:rsid w:val="00CC5519"/>
    <w:rsid w:val="00CC64DC"/>
    <w:rsid w:val="00CC728F"/>
    <w:rsid w:val="00CD07AD"/>
    <w:rsid w:val="00CD0CD2"/>
    <w:rsid w:val="00CD3DD9"/>
    <w:rsid w:val="00CD5000"/>
    <w:rsid w:val="00CD79C7"/>
    <w:rsid w:val="00CD7EBC"/>
    <w:rsid w:val="00CE01CF"/>
    <w:rsid w:val="00CF0AA8"/>
    <w:rsid w:val="00CF3609"/>
    <w:rsid w:val="00D04C11"/>
    <w:rsid w:val="00D07920"/>
    <w:rsid w:val="00D10F5B"/>
    <w:rsid w:val="00D12398"/>
    <w:rsid w:val="00D12BF0"/>
    <w:rsid w:val="00D13A35"/>
    <w:rsid w:val="00D14CFE"/>
    <w:rsid w:val="00D1600F"/>
    <w:rsid w:val="00D160B9"/>
    <w:rsid w:val="00D21585"/>
    <w:rsid w:val="00D2223D"/>
    <w:rsid w:val="00D252D2"/>
    <w:rsid w:val="00D276DC"/>
    <w:rsid w:val="00D31EC2"/>
    <w:rsid w:val="00D35FD0"/>
    <w:rsid w:val="00D4000F"/>
    <w:rsid w:val="00D42F12"/>
    <w:rsid w:val="00D42F2F"/>
    <w:rsid w:val="00D43A51"/>
    <w:rsid w:val="00D44CFF"/>
    <w:rsid w:val="00D4510D"/>
    <w:rsid w:val="00D454A2"/>
    <w:rsid w:val="00D45A54"/>
    <w:rsid w:val="00D45CCF"/>
    <w:rsid w:val="00D5362C"/>
    <w:rsid w:val="00D53817"/>
    <w:rsid w:val="00D54256"/>
    <w:rsid w:val="00D61B37"/>
    <w:rsid w:val="00D73DD6"/>
    <w:rsid w:val="00D7418B"/>
    <w:rsid w:val="00D7769C"/>
    <w:rsid w:val="00D816B6"/>
    <w:rsid w:val="00D908E6"/>
    <w:rsid w:val="00D940C8"/>
    <w:rsid w:val="00D94D49"/>
    <w:rsid w:val="00D95FD3"/>
    <w:rsid w:val="00D96036"/>
    <w:rsid w:val="00DA1740"/>
    <w:rsid w:val="00DB0627"/>
    <w:rsid w:val="00DB0E7B"/>
    <w:rsid w:val="00DB3D7F"/>
    <w:rsid w:val="00DB423E"/>
    <w:rsid w:val="00DB6424"/>
    <w:rsid w:val="00DB6BAD"/>
    <w:rsid w:val="00DC1340"/>
    <w:rsid w:val="00DD1142"/>
    <w:rsid w:val="00DD27E0"/>
    <w:rsid w:val="00DD4C40"/>
    <w:rsid w:val="00DD5077"/>
    <w:rsid w:val="00DD6DA1"/>
    <w:rsid w:val="00DD718B"/>
    <w:rsid w:val="00DE0661"/>
    <w:rsid w:val="00DE0B59"/>
    <w:rsid w:val="00DE11FC"/>
    <w:rsid w:val="00DE163C"/>
    <w:rsid w:val="00DE689F"/>
    <w:rsid w:val="00DF792D"/>
    <w:rsid w:val="00DF7A55"/>
    <w:rsid w:val="00E00816"/>
    <w:rsid w:val="00E01AF7"/>
    <w:rsid w:val="00E02034"/>
    <w:rsid w:val="00E02ED6"/>
    <w:rsid w:val="00E04048"/>
    <w:rsid w:val="00E041FA"/>
    <w:rsid w:val="00E04956"/>
    <w:rsid w:val="00E05305"/>
    <w:rsid w:val="00E06C9E"/>
    <w:rsid w:val="00E13006"/>
    <w:rsid w:val="00E23F4B"/>
    <w:rsid w:val="00E240CB"/>
    <w:rsid w:val="00E3150E"/>
    <w:rsid w:val="00E3229D"/>
    <w:rsid w:val="00E42C65"/>
    <w:rsid w:val="00E45F99"/>
    <w:rsid w:val="00E4682E"/>
    <w:rsid w:val="00E57EE7"/>
    <w:rsid w:val="00E613B6"/>
    <w:rsid w:val="00E67A3A"/>
    <w:rsid w:val="00E67C21"/>
    <w:rsid w:val="00E7171E"/>
    <w:rsid w:val="00E71882"/>
    <w:rsid w:val="00E73116"/>
    <w:rsid w:val="00E77179"/>
    <w:rsid w:val="00E80BBA"/>
    <w:rsid w:val="00E83033"/>
    <w:rsid w:val="00E836F4"/>
    <w:rsid w:val="00E83B96"/>
    <w:rsid w:val="00E84F5F"/>
    <w:rsid w:val="00E91CDE"/>
    <w:rsid w:val="00E9517D"/>
    <w:rsid w:val="00E974BE"/>
    <w:rsid w:val="00E97CD8"/>
    <w:rsid w:val="00EA475D"/>
    <w:rsid w:val="00EA564A"/>
    <w:rsid w:val="00EA790D"/>
    <w:rsid w:val="00EB2781"/>
    <w:rsid w:val="00EB7FDE"/>
    <w:rsid w:val="00EC0098"/>
    <w:rsid w:val="00EC16EB"/>
    <w:rsid w:val="00EC252A"/>
    <w:rsid w:val="00EC27D7"/>
    <w:rsid w:val="00EC3E61"/>
    <w:rsid w:val="00EC638B"/>
    <w:rsid w:val="00ED3EA5"/>
    <w:rsid w:val="00EE327B"/>
    <w:rsid w:val="00EE5A19"/>
    <w:rsid w:val="00EE7316"/>
    <w:rsid w:val="00EE7E7C"/>
    <w:rsid w:val="00EF2E9E"/>
    <w:rsid w:val="00EF5BB5"/>
    <w:rsid w:val="00F00EC3"/>
    <w:rsid w:val="00F0733D"/>
    <w:rsid w:val="00F078AD"/>
    <w:rsid w:val="00F1434F"/>
    <w:rsid w:val="00F150A2"/>
    <w:rsid w:val="00F1512F"/>
    <w:rsid w:val="00F2195A"/>
    <w:rsid w:val="00F22EBA"/>
    <w:rsid w:val="00F25FC5"/>
    <w:rsid w:val="00F3120E"/>
    <w:rsid w:val="00F323FF"/>
    <w:rsid w:val="00F3351F"/>
    <w:rsid w:val="00F372D8"/>
    <w:rsid w:val="00F429F1"/>
    <w:rsid w:val="00F435E3"/>
    <w:rsid w:val="00F4538C"/>
    <w:rsid w:val="00F47659"/>
    <w:rsid w:val="00F50C0D"/>
    <w:rsid w:val="00F53D3D"/>
    <w:rsid w:val="00F5493C"/>
    <w:rsid w:val="00F54D88"/>
    <w:rsid w:val="00F57ED9"/>
    <w:rsid w:val="00F57FFB"/>
    <w:rsid w:val="00F73DF9"/>
    <w:rsid w:val="00F81E52"/>
    <w:rsid w:val="00F81F33"/>
    <w:rsid w:val="00F84BC9"/>
    <w:rsid w:val="00F90F5E"/>
    <w:rsid w:val="00F94D7A"/>
    <w:rsid w:val="00F96915"/>
    <w:rsid w:val="00FA47DD"/>
    <w:rsid w:val="00FA5F01"/>
    <w:rsid w:val="00FB0C71"/>
    <w:rsid w:val="00FB662E"/>
    <w:rsid w:val="00FB79F0"/>
    <w:rsid w:val="00FC3C48"/>
    <w:rsid w:val="00FC3FAA"/>
    <w:rsid w:val="00FC5027"/>
    <w:rsid w:val="00FD0832"/>
    <w:rsid w:val="00FD0F0E"/>
    <w:rsid w:val="00FD296D"/>
    <w:rsid w:val="00FD4BB0"/>
    <w:rsid w:val="00FD57FB"/>
    <w:rsid w:val="00FE0D99"/>
    <w:rsid w:val="00FE1083"/>
    <w:rsid w:val="00FE1D19"/>
    <w:rsid w:val="00FE767E"/>
    <w:rsid w:val="00FF6C9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10</cp:revision>
  <cp:lastPrinted>2012-05-15T15:07:00Z</cp:lastPrinted>
  <dcterms:created xsi:type="dcterms:W3CDTF">2012-05-15T13:34:00Z</dcterms:created>
  <dcterms:modified xsi:type="dcterms:W3CDTF">2012-05-15T15:07:00Z</dcterms:modified>
</cp:coreProperties>
</file>